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B6FAE" w14:textId="74DEB77E" w:rsidR="00D404DD" w:rsidRPr="00FE68FA" w:rsidRDefault="00D404DD" w:rsidP="00D404DD">
      <w:pPr>
        <w:pStyle w:val="Header"/>
        <w:tabs>
          <w:tab w:val="right" w:pos="9639"/>
        </w:tabs>
        <w:rPr>
          <w:bCs/>
          <w:sz w:val="24"/>
          <w:szCs w:val="24"/>
          <w:lang w:val="en-GB"/>
        </w:rPr>
      </w:pPr>
      <w:r w:rsidRPr="00FE68FA">
        <w:rPr>
          <w:bCs/>
          <w:sz w:val="24"/>
          <w:szCs w:val="24"/>
          <w:lang w:val="en-GB"/>
        </w:rPr>
        <w:t>3GPP TSG</w:t>
      </w:r>
      <w:r>
        <w:rPr>
          <w:bCs/>
          <w:sz w:val="24"/>
          <w:szCs w:val="24"/>
          <w:lang w:val="en-GB"/>
        </w:rPr>
        <w:t>-</w:t>
      </w:r>
      <w:r w:rsidRPr="00FE68FA">
        <w:rPr>
          <w:bCs/>
          <w:sz w:val="24"/>
          <w:szCs w:val="24"/>
          <w:lang w:val="en-GB"/>
        </w:rPr>
        <w:t>RAN WG</w:t>
      </w:r>
      <w:r w:rsidR="00593756">
        <w:rPr>
          <w:bCs/>
          <w:sz w:val="24"/>
          <w:szCs w:val="24"/>
          <w:lang w:val="en-GB"/>
        </w:rPr>
        <w:t>4</w:t>
      </w:r>
      <w:r w:rsidRPr="00FE68FA">
        <w:rPr>
          <w:bCs/>
          <w:sz w:val="24"/>
          <w:szCs w:val="24"/>
          <w:lang w:val="en-GB"/>
        </w:rPr>
        <w:t xml:space="preserve"> </w:t>
      </w:r>
      <w:r>
        <w:rPr>
          <w:bCs/>
          <w:sz w:val="24"/>
          <w:szCs w:val="24"/>
          <w:lang w:val="en-GB"/>
        </w:rPr>
        <w:t xml:space="preserve">Meeting </w:t>
      </w:r>
      <w:r w:rsidRPr="00FE68FA">
        <w:rPr>
          <w:bCs/>
          <w:sz w:val="24"/>
          <w:szCs w:val="24"/>
          <w:lang w:val="en-GB"/>
        </w:rPr>
        <w:t>#1</w:t>
      </w:r>
      <w:r w:rsidR="002B0332">
        <w:rPr>
          <w:bCs/>
          <w:sz w:val="24"/>
          <w:szCs w:val="24"/>
          <w:lang w:val="en-GB"/>
        </w:rPr>
        <w:t>18</w:t>
      </w:r>
      <w:r w:rsidRPr="00FE68FA">
        <w:rPr>
          <w:bCs/>
          <w:sz w:val="24"/>
          <w:szCs w:val="24"/>
          <w:lang w:val="en-GB"/>
        </w:rPr>
        <w:tab/>
      </w:r>
      <w:r w:rsidR="00D40810" w:rsidRPr="00D40810">
        <w:rPr>
          <w:bCs/>
          <w:sz w:val="24"/>
          <w:szCs w:val="24"/>
          <w:lang w:val="en-GB"/>
        </w:rPr>
        <w:t>R</w:t>
      </w:r>
      <w:r w:rsidR="002B0332">
        <w:rPr>
          <w:bCs/>
          <w:sz w:val="24"/>
          <w:szCs w:val="24"/>
          <w:lang w:val="en-GB"/>
        </w:rPr>
        <w:t>4-</w:t>
      </w:r>
      <w:r w:rsidR="003F7528" w:rsidRPr="003F7528">
        <w:rPr>
          <w:bCs/>
          <w:sz w:val="24"/>
          <w:szCs w:val="24"/>
          <w:lang w:val="en-GB"/>
        </w:rPr>
        <w:t>2600383</w:t>
      </w:r>
    </w:p>
    <w:p w14:paraId="171EC38D" w14:textId="22F7B5E2" w:rsidR="0052234F" w:rsidRPr="008F154C" w:rsidRDefault="004D7CA5">
      <w:pPr>
        <w:pStyle w:val="Header"/>
        <w:rPr>
          <w:sz w:val="24"/>
          <w:szCs w:val="24"/>
          <w:lang w:val="en-GB"/>
        </w:rPr>
      </w:pPr>
      <w:r>
        <w:rPr>
          <w:bCs/>
          <w:sz w:val="24"/>
          <w:szCs w:val="24"/>
          <w:lang w:val="en-GB"/>
        </w:rPr>
        <w:t>Gothenburg</w:t>
      </w:r>
      <w:r w:rsidR="00D404DD" w:rsidRPr="00D34C80">
        <w:rPr>
          <w:bCs/>
          <w:sz w:val="24"/>
          <w:szCs w:val="24"/>
          <w:lang w:val="en-GB"/>
        </w:rPr>
        <w:t xml:space="preserve">, </w:t>
      </w:r>
      <w:r w:rsidR="009C38EE">
        <w:rPr>
          <w:bCs/>
          <w:sz w:val="24"/>
          <w:szCs w:val="24"/>
          <w:lang w:val="en-GB"/>
        </w:rPr>
        <w:t>Sweden</w:t>
      </w:r>
      <w:r w:rsidR="00D404DD" w:rsidRPr="00D34C80">
        <w:rPr>
          <w:bCs/>
          <w:sz w:val="24"/>
          <w:szCs w:val="24"/>
          <w:lang w:val="en-GB"/>
        </w:rPr>
        <w:t xml:space="preserve">, </w:t>
      </w:r>
      <w:r w:rsidR="008F5AEF">
        <w:rPr>
          <w:bCs/>
          <w:sz w:val="24"/>
          <w:szCs w:val="24"/>
          <w:lang w:val="en-GB"/>
        </w:rPr>
        <w:t>Feb</w:t>
      </w:r>
      <w:r w:rsidR="00D404DD" w:rsidRPr="00D34C80">
        <w:rPr>
          <w:bCs/>
          <w:sz w:val="24"/>
          <w:szCs w:val="24"/>
          <w:lang w:val="en-GB"/>
        </w:rPr>
        <w:t xml:space="preserve"> </w:t>
      </w:r>
      <w:r w:rsidR="00585941">
        <w:rPr>
          <w:bCs/>
          <w:sz w:val="24"/>
          <w:szCs w:val="24"/>
          <w:lang w:val="en-GB"/>
        </w:rPr>
        <w:t>09</w:t>
      </w:r>
      <w:r w:rsidR="001F21C0" w:rsidRPr="001F21C0">
        <w:rPr>
          <w:bCs/>
          <w:sz w:val="24"/>
          <w:szCs w:val="24"/>
          <w:vertAlign w:val="superscript"/>
          <w:lang w:val="en-GB"/>
        </w:rPr>
        <w:t>th</w:t>
      </w:r>
      <w:r w:rsidR="001F21C0">
        <w:rPr>
          <w:bCs/>
          <w:sz w:val="24"/>
          <w:szCs w:val="24"/>
          <w:lang w:val="en-GB"/>
        </w:rPr>
        <w:t xml:space="preserve"> –</w:t>
      </w:r>
      <w:r w:rsidR="00D404DD">
        <w:rPr>
          <w:bCs/>
          <w:sz w:val="24"/>
          <w:szCs w:val="24"/>
          <w:lang w:val="en-GB"/>
        </w:rPr>
        <w:t xml:space="preserve"> </w:t>
      </w:r>
      <w:r w:rsidR="00585941">
        <w:rPr>
          <w:bCs/>
          <w:sz w:val="24"/>
          <w:szCs w:val="24"/>
          <w:lang w:val="en-GB"/>
        </w:rPr>
        <w:t>13</w:t>
      </w:r>
      <w:r w:rsidR="001F21C0" w:rsidRPr="001F21C0">
        <w:rPr>
          <w:bCs/>
          <w:sz w:val="24"/>
          <w:szCs w:val="24"/>
          <w:vertAlign w:val="superscript"/>
          <w:lang w:val="en-GB"/>
        </w:rPr>
        <w:t>th</w:t>
      </w:r>
      <w:r w:rsidR="00D40810">
        <w:rPr>
          <w:bCs/>
          <w:sz w:val="24"/>
          <w:szCs w:val="24"/>
          <w:lang w:val="en-GB"/>
        </w:rPr>
        <w:t>, 202</w:t>
      </w:r>
      <w:r w:rsidR="00585941">
        <w:rPr>
          <w:bCs/>
          <w:sz w:val="24"/>
          <w:szCs w:val="24"/>
          <w:lang w:val="en-GB"/>
        </w:rPr>
        <w:t>6</w:t>
      </w:r>
      <w:r w:rsidR="00D404DD" w:rsidRPr="00566DD3">
        <w:rPr>
          <w:bCs/>
          <w:sz w:val="24"/>
          <w:szCs w:val="24"/>
          <w:lang w:val="en-GB"/>
        </w:rPr>
        <w:t> </w:t>
      </w:r>
    </w:p>
    <w:p w14:paraId="1240AC3A" w14:textId="77777777" w:rsidR="0052234F" w:rsidRPr="00566DD3" w:rsidRDefault="0052234F">
      <w:pPr>
        <w:pStyle w:val="Header"/>
        <w:rPr>
          <w:bCs/>
          <w:sz w:val="24"/>
          <w:lang w:val="en-GB" w:eastAsia="ja-JP"/>
        </w:rPr>
      </w:pPr>
    </w:p>
    <w:p w14:paraId="22CB0645" w14:textId="79C30C70" w:rsidR="002B0332" w:rsidRPr="00566DD3" w:rsidRDefault="0044534E">
      <w:pPr>
        <w:pStyle w:val="CRCoverPage"/>
        <w:rPr>
          <w:rFonts w:cs="Arial"/>
          <w:b/>
          <w:bCs/>
          <w:sz w:val="24"/>
          <w:szCs w:val="24"/>
        </w:rPr>
      </w:pPr>
      <w:r w:rsidRPr="00566DD3">
        <w:rPr>
          <w:rFonts w:cs="Arial"/>
          <w:b/>
          <w:bCs/>
          <w:sz w:val="24"/>
          <w:szCs w:val="24"/>
        </w:rPr>
        <w:t>Agenda item:</w:t>
      </w:r>
      <w:r w:rsidRPr="00566DD3">
        <w:rPr>
          <w:rFonts w:cs="Arial"/>
          <w:b/>
          <w:bCs/>
          <w:sz w:val="24"/>
        </w:rPr>
        <w:tab/>
      </w:r>
      <w:r w:rsidRPr="00566DD3">
        <w:rPr>
          <w:rFonts w:cs="Arial"/>
          <w:b/>
          <w:bCs/>
          <w:sz w:val="24"/>
        </w:rPr>
        <w:tab/>
      </w:r>
      <w:r w:rsidR="002B0332">
        <w:rPr>
          <w:rFonts w:cs="Arial"/>
          <w:b/>
          <w:bCs/>
          <w:sz w:val="24"/>
          <w:szCs w:val="24"/>
        </w:rPr>
        <w:t>8.6.</w:t>
      </w:r>
      <w:r w:rsidR="00100134">
        <w:rPr>
          <w:rFonts w:cs="Arial"/>
          <w:b/>
          <w:bCs/>
          <w:sz w:val="24"/>
          <w:szCs w:val="24"/>
        </w:rPr>
        <w:t>3</w:t>
      </w:r>
    </w:p>
    <w:p w14:paraId="06D868A8" w14:textId="317278EB"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284515">
        <w:rPr>
          <w:rFonts w:ascii="Arial" w:hAnsi="Arial" w:cs="Arial"/>
          <w:b/>
          <w:bCs/>
          <w:sz w:val="24"/>
        </w:rPr>
        <w:t xml:space="preserve"> Mobile</w:t>
      </w:r>
    </w:p>
    <w:p w14:paraId="37339F84" w14:textId="0311DADF"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w:t>
      </w:r>
      <w:r w:rsidR="008A446B">
        <w:rPr>
          <w:rFonts w:ascii="Arial" w:hAnsi="Arial" w:cs="Arial"/>
          <w:b/>
          <w:bCs/>
          <w:sz w:val="24"/>
        </w:rPr>
        <w:t xml:space="preserve">on </w:t>
      </w:r>
      <w:r w:rsidR="00730325">
        <w:rPr>
          <w:rFonts w:ascii="Arial" w:hAnsi="Arial" w:cs="Arial"/>
          <w:b/>
          <w:bCs/>
          <w:sz w:val="24"/>
        </w:rPr>
        <w:t xml:space="preserve">other </w:t>
      </w:r>
      <w:r w:rsidR="008A446B">
        <w:rPr>
          <w:rFonts w:ascii="Arial" w:hAnsi="Arial" w:cs="Arial"/>
          <w:b/>
          <w:bCs/>
          <w:sz w:val="24"/>
        </w:rPr>
        <w:t xml:space="preserve">6G </w:t>
      </w:r>
      <w:r w:rsidR="00BA539C">
        <w:rPr>
          <w:rFonts w:ascii="Arial" w:hAnsi="Arial" w:cs="Arial"/>
          <w:b/>
          <w:bCs/>
          <w:sz w:val="24"/>
        </w:rPr>
        <w:t xml:space="preserve">RRM </w:t>
      </w:r>
      <w:r w:rsidR="00730325">
        <w:rPr>
          <w:rFonts w:ascii="Arial" w:hAnsi="Arial" w:cs="Arial"/>
          <w:b/>
          <w:bCs/>
          <w:sz w:val="24"/>
        </w:rPr>
        <w:t>topics</w:t>
      </w:r>
    </w:p>
    <w:p w14:paraId="527B646B" w14:textId="745C7F9F"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w:t>
      </w:r>
    </w:p>
    <w:p w14:paraId="62C83210" w14:textId="77777777" w:rsidR="0052234F" w:rsidRDefault="0044534E">
      <w:pPr>
        <w:pStyle w:val="Heading1"/>
      </w:pPr>
      <w:r>
        <w:t>Introduction</w:t>
      </w:r>
    </w:p>
    <w:p w14:paraId="335ED8AA" w14:textId="546DFAB7" w:rsidR="000D1270" w:rsidRPr="00AB1365" w:rsidRDefault="00A6055C" w:rsidP="000D1270">
      <w:pPr>
        <w:rPr>
          <w:sz w:val="22"/>
          <w:szCs w:val="22"/>
        </w:rPr>
      </w:pPr>
      <w:r w:rsidRPr="00AB1365">
        <w:rPr>
          <w:sz w:val="22"/>
          <w:szCs w:val="22"/>
        </w:rPr>
        <w:t xml:space="preserve">The ongoing </w:t>
      </w:r>
      <w:r w:rsidR="00365A31" w:rsidRPr="00AB1365">
        <w:rPr>
          <w:sz w:val="22"/>
          <w:szCs w:val="22"/>
        </w:rPr>
        <w:t xml:space="preserve">6GR study [1] includes the following </w:t>
      </w:r>
      <w:r w:rsidR="00A07977" w:rsidRPr="00AB1365">
        <w:rPr>
          <w:sz w:val="22"/>
          <w:szCs w:val="22"/>
        </w:rPr>
        <w:t>objectives related to core and performance requirements</w:t>
      </w:r>
      <w:r w:rsidR="00A92C45" w:rsidRPr="00AB1365">
        <w:rPr>
          <w:sz w:val="22"/>
          <w:szCs w:val="22"/>
        </w:rPr>
        <w:t xml:space="preserve">. </w:t>
      </w:r>
      <w:r w:rsidR="004A72E6" w:rsidRPr="00AB1365">
        <w:rPr>
          <w:sz w:val="22"/>
          <w:szCs w:val="22"/>
        </w:rPr>
        <w:t xml:space="preserve">The highlighted </w:t>
      </w:r>
      <w:r w:rsidR="00B129A2" w:rsidRPr="00AB1365">
        <w:rPr>
          <w:sz w:val="22"/>
          <w:szCs w:val="22"/>
        </w:rPr>
        <w:t>are the identified RRM impacts for study.</w:t>
      </w:r>
    </w:p>
    <w:p w14:paraId="0DC7EE50" w14:textId="77777777" w:rsidR="00DB32BB" w:rsidRPr="00AB1365" w:rsidRDefault="00DB32BB" w:rsidP="00280E93">
      <w:pPr>
        <w:pStyle w:val="ListParagraph"/>
        <w:numPr>
          <w:ilvl w:val="0"/>
          <w:numId w:val="7"/>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 xml:space="preserve">6GR core and performance requirements </w:t>
      </w:r>
    </w:p>
    <w:p w14:paraId="4A0E3BAB" w14:textId="77777777" w:rsidR="00DB32BB" w:rsidRPr="00AB1365" w:rsidRDefault="00DB32BB" w:rsidP="00280E93">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General RF aspects [RAN4]</w:t>
      </w:r>
    </w:p>
    <w:p w14:paraId="1F13E956" w14:textId="77777777" w:rsidR="00DB32BB" w:rsidRPr="00AB1365" w:rsidRDefault="00DB32BB" w:rsidP="00280E93">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Intra-3GPP co-existence studies</w:t>
      </w:r>
    </w:p>
    <w:p w14:paraId="59EB5664" w14:textId="77777777" w:rsidR="00DB32BB" w:rsidRPr="00AB1365" w:rsidRDefault="00DB32BB" w:rsidP="00280E93">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Study RF related system parameters and requirements</w:t>
      </w:r>
    </w:p>
    <w:p w14:paraId="345E257A" w14:textId="77777777" w:rsidR="00DB32BB" w:rsidRPr="00AB1365" w:rsidRDefault="00DB32BB" w:rsidP="00280E93">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BS RF requirement aspects including band [RAN4]</w:t>
      </w:r>
    </w:p>
    <w:p w14:paraId="1AD0896C" w14:textId="77777777" w:rsidR="00DB32BB" w:rsidRPr="00AB1365" w:rsidRDefault="00DB32BB" w:rsidP="00280E93">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BS RF requirement and testing framework aiming at improvements and/or simplification compared to 5G NR, including MSR and AAS operation</w:t>
      </w:r>
    </w:p>
    <w:p w14:paraId="4D34AE61" w14:textId="77777777" w:rsidR="00DB32BB" w:rsidRPr="00AB1365" w:rsidRDefault="00DB32BB" w:rsidP="00280E93">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 xml:space="preserve">Study how to improve 6G BS core,  conformance specifications, including structure and drafting principles </w:t>
      </w:r>
    </w:p>
    <w:p w14:paraId="79129747" w14:textId="77777777" w:rsidR="00DB32BB" w:rsidRPr="00AB1365" w:rsidRDefault="00DB32BB" w:rsidP="00280E93">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UE RF requirement aspects including band and band combination [RAN4]</w:t>
      </w:r>
    </w:p>
    <w:p w14:paraId="5942690A" w14:textId="77777777" w:rsidR="00DB32BB" w:rsidRPr="00AB1365" w:rsidRDefault="00DB32BB" w:rsidP="00280E93">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UE RF requirement framework aiming at improvements and/or simplification compared to 5G NR</w:t>
      </w:r>
    </w:p>
    <w:p w14:paraId="63C49459" w14:textId="77777777" w:rsidR="00DB32BB" w:rsidRPr="00AB1365" w:rsidRDefault="00DB32BB" w:rsidP="00280E93">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 xml:space="preserve">Study how to improve 6G UE RF specification(s), including structure, drafting principles, and database for band combination </w:t>
      </w:r>
    </w:p>
    <w:p w14:paraId="077C13DF" w14:textId="77777777" w:rsidR="00DB32BB" w:rsidRPr="00AB1365" w:rsidRDefault="00DB32BB" w:rsidP="00280E93">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Study UE RF capabilities considering different device types and implementations</w:t>
      </w:r>
    </w:p>
    <w:p w14:paraId="3E12F6F4" w14:textId="77777777" w:rsidR="00DB32BB" w:rsidRPr="00AB1365" w:rsidRDefault="00DB32BB" w:rsidP="00280E93">
      <w:pPr>
        <w:pStyle w:val="ListParagraph"/>
        <w:numPr>
          <w:ilvl w:val="0"/>
          <w:numId w:val="12"/>
        </w:numPr>
        <w:overflowPunct w:val="0"/>
        <w:autoSpaceDE w:val="0"/>
        <w:autoSpaceDN w:val="0"/>
        <w:adjustRightInd w:val="0"/>
        <w:spacing w:after="120"/>
        <w:textAlignment w:val="baseline"/>
        <w:rPr>
          <w:color w:val="000000" w:themeColor="text1"/>
          <w:sz w:val="22"/>
          <w:szCs w:val="22"/>
          <w:highlight w:val="yellow"/>
        </w:rPr>
      </w:pPr>
      <w:r w:rsidRPr="00AB1365">
        <w:rPr>
          <w:color w:val="000000" w:themeColor="text1"/>
          <w:sz w:val="22"/>
          <w:szCs w:val="22"/>
          <w:highlight w:val="yellow"/>
        </w:rPr>
        <w:t>RRM aspects for 6GR [RAN4, RAN1, RAN2]</w:t>
      </w:r>
    </w:p>
    <w:p w14:paraId="7898B72B" w14:textId="77777777" w:rsidR="00DB32BB" w:rsidRPr="00AB1365" w:rsidRDefault="00DB32BB" w:rsidP="00280E93">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highlight w:val="yellow"/>
        </w:rPr>
      </w:pPr>
      <w:r w:rsidRPr="00AB1365">
        <w:rPr>
          <w:color w:val="000000" w:themeColor="text1"/>
          <w:sz w:val="22"/>
          <w:szCs w:val="22"/>
          <w:highlight w:val="yellow"/>
        </w:rPr>
        <w:t>RRM requirement and procedure aspects aiming at improvements and/or simplification compared to 5G NR</w:t>
      </w:r>
    </w:p>
    <w:p w14:paraId="15B7E63C" w14:textId="77777777" w:rsidR="00DB32BB" w:rsidRPr="00AB1365" w:rsidRDefault="00DB32BB" w:rsidP="00280E93">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highlight w:val="yellow"/>
        </w:rPr>
      </w:pPr>
      <w:r w:rsidRPr="00AB1365">
        <w:rPr>
          <w:color w:val="000000" w:themeColor="text1"/>
          <w:sz w:val="22"/>
          <w:szCs w:val="22"/>
          <w:highlight w:val="yellow"/>
        </w:rPr>
        <w:t xml:space="preserve">Study how to improve 6G requirement specification, including structure and drafting principles </w:t>
      </w:r>
    </w:p>
    <w:p w14:paraId="4B0837C8" w14:textId="77777777" w:rsidR="00DB32BB" w:rsidRPr="00AB1365" w:rsidRDefault="00DB32BB" w:rsidP="00280E93">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Demodulation and performance aspects [RAN4]</w:t>
      </w:r>
    </w:p>
    <w:p w14:paraId="1550BF09" w14:textId="77777777" w:rsidR="00DB32BB" w:rsidRPr="00AB1365" w:rsidRDefault="00DB32BB" w:rsidP="00280E93">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Demodulation and performance requirement framework and key assumptions, aiming at improvements and/or simplification compared to 5G NR</w:t>
      </w:r>
      <w:r w:rsidRPr="00AB1365">
        <w:rPr>
          <w:rFonts w:hint="eastAsia"/>
          <w:color w:val="000000" w:themeColor="text1"/>
          <w:sz w:val="22"/>
          <w:szCs w:val="22"/>
          <w:lang w:eastAsia="ja-JP"/>
        </w:rPr>
        <w:t xml:space="preserve"> for UE and BS</w:t>
      </w:r>
    </w:p>
    <w:p w14:paraId="55BD8BC4" w14:textId="77777777" w:rsidR="00DB32BB" w:rsidRPr="00AB1365" w:rsidRDefault="00DB32BB" w:rsidP="00280E93">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Study how to improve 6G demodulation and performance specifications, including structure and drafting principles</w:t>
      </w:r>
      <w:r w:rsidRPr="00AB1365">
        <w:rPr>
          <w:rFonts w:hint="eastAsia"/>
          <w:color w:val="000000" w:themeColor="text1"/>
          <w:sz w:val="22"/>
          <w:szCs w:val="22"/>
          <w:lang w:eastAsia="ja-JP"/>
        </w:rPr>
        <w:t xml:space="preserve"> for UE </w:t>
      </w:r>
      <w:r w:rsidRPr="00AB1365">
        <w:rPr>
          <w:color w:val="000000" w:themeColor="text1"/>
          <w:sz w:val="22"/>
          <w:szCs w:val="22"/>
          <w:lang w:eastAsia="ja-JP"/>
        </w:rPr>
        <w:t>and</w:t>
      </w:r>
      <w:r w:rsidRPr="00AB1365">
        <w:rPr>
          <w:rFonts w:hint="eastAsia"/>
          <w:color w:val="000000" w:themeColor="text1"/>
          <w:sz w:val="22"/>
          <w:szCs w:val="22"/>
          <w:lang w:eastAsia="ja-JP"/>
        </w:rPr>
        <w:t xml:space="preserve"> BS</w:t>
      </w:r>
    </w:p>
    <w:p w14:paraId="63A7D3B0" w14:textId="77777777" w:rsidR="00DB32BB" w:rsidRPr="00AB1365" w:rsidRDefault="00DB32BB" w:rsidP="00280E93">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Aspects related to the testability [RAN4]</w:t>
      </w:r>
    </w:p>
    <w:p w14:paraId="3870FFF3" w14:textId="77777777" w:rsidR="00DB32BB" w:rsidRPr="00AB1365" w:rsidRDefault="00DB32BB" w:rsidP="00280E93">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Testability methodology framework and key assumptions, aiming to ensure that requirements can be properly tested considering the applicability and feasibility of conductive and/or OTA testing with reasonable complexity</w:t>
      </w:r>
    </w:p>
    <w:p w14:paraId="6217CE2A" w14:textId="77777777" w:rsidR="00DB32BB" w:rsidRPr="00AB1365" w:rsidRDefault="00DB32BB" w:rsidP="00280E93">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Other aspects</w:t>
      </w:r>
    </w:p>
    <w:p w14:paraId="464D06A3" w14:textId="77777777" w:rsidR="00DB32BB" w:rsidRPr="00AB1365" w:rsidRDefault="00DB32BB" w:rsidP="00280E93">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 xml:space="preserve">Handling </w:t>
      </w:r>
      <w:r w:rsidRPr="00AB1365">
        <w:rPr>
          <w:color w:val="000000" w:themeColor="text1"/>
          <w:sz w:val="22"/>
          <w:szCs w:val="22"/>
          <w:lang w:eastAsia="ja-JP"/>
        </w:rPr>
        <w:t>irregular</w:t>
      </w:r>
      <w:r w:rsidRPr="00AB1365">
        <w:rPr>
          <w:color w:val="000000" w:themeColor="text1"/>
          <w:sz w:val="22"/>
          <w:szCs w:val="22"/>
        </w:rPr>
        <w:t xml:space="preserve"> channel bandwidths </w:t>
      </w:r>
      <w:r w:rsidRPr="00AB1365">
        <w:rPr>
          <w:rFonts w:hint="eastAsia"/>
          <w:color w:val="000000" w:themeColor="text1"/>
          <w:sz w:val="22"/>
          <w:szCs w:val="22"/>
          <w:lang w:eastAsia="ja-JP"/>
        </w:rPr>
        <w:t>including the definition [RAN4, RAN1]</w:t>
      </w:r>
    </w:p>
    <w:p w14:paraId="65707FC2" w14:textId="687C5D52" w:rsidR="001258F4" w:rsidRPr="00B21816" w:rsidRDefault="00DB32BB" w:rsidP="00280E93">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Definition of ‘frequency range(s)’</w:t>
      </w:r>
      <w:r w:rsidRPr="00AB1365">
        <w:rPr>
          <w:rFonts w:hint="eastAsia"/>
          <w:color w:val="000000" w:themeColor="text1"/>
          <w:sz w:val="22"/>
          <w:szCs w:val="22"/>
          <w:lang w:eastAsia="ja-JP"/>
        </w:rPr>
        <w:t>[RAN4]</w:t>
      </w:r>
    </w:p>
    <w:p w14:paraId="46B30208" w14:textId="02DA126F" w:rsidR="0052234F" w:rsidRDefault="00603E08">
      <w:pPr>
        <w:pStyle w:val="Heading1"/>
      </w:pPr>
      <w:r>
        <w:t>Discussion</w:t>
      </w:r>
    </w:p>
    <w:p w14:paraId="7582426B" w14:textId="06150116" w:rsidR="00E367A2" w:rsidRPr="00E367A2" w:rsidRDefault="00E367A2" w:rsidP="00B21816">
      <w:pPr>
        <w:jc w:val="both"/>
        <w:rPr>
          <w:sz w:val="22"/>
          <w:szCs w:val="22"/>
        </w:rPr>
      </w:pPr>
      <w:r w:rsidRPr="00E367A2">
        <w:rPr>
          <w:sz w:val="22"/>
          <w:szCs w:val="22"/>
        </w:rPr>
        <w:t>This contribution proposes a focused 6G RAN4 RRM discussion scope for mobility</w:t>
      </w:r>
      <w:r>
        <w:rPr>
          <w:sz w:val="22"/>
          <w:szCs w:val="22"/>
        </w:rPr>
        <w:t xml:space="preserve"> </w:t>
      </w:r>
      <w:r w:rsidRPr="00E367A2">
        <w:rPr>
          <w:sz w:val="22"/>
          <w:szCs w:val="22"/>
        </w:rPr>
        <w:t>related requirements</w:t>
      </w:r>
      <w:r>
        <w:rPr>
          <w:sz w:val="22"/>
          <w:szCs w:val="22"/>
        </w:rPr>
        <w:t xml:space="preserve"> and </w:t>
      </w:r>
      <w:r w:rsidRPr="00E367A2">
        <w:rPr>
          <w:sz w:val="22"/>
          <w:szCs w:val="22"/>
        </w:rPr>
        <w:t xml:space="preserve">NTN </w:t>
      </w:r>
      <w:r>
        <w:rPr>
          <w:sz w:val="22"/>
          <w:szCs w:val="22"/>
        </w:rPr>
        <w:t xml:space="preserve">integration </w:t>
      </w:r>
      <w:r w:rsidRPr="00E367A2">
        <w:rPr>
          <w:sz w:val="22"/>
          <w:szCs w:val="22"/>
        </w:rPr>
        <w:t>from day</w:t>
      </w:r>
      <w:r>
        <w:rPr>
          <w:sz w:val="22"/>
          <w:szCs w:val="22"/>
        </w:rPr>
        <w:t xml:space="preserve"> </w:t>
      </w:r>
      <w:r w:rsidRPr="00E367A2">
        <w:rPr>
          <w:sz w:val="22"/>
          <w:szCs w:val="22"/>
        </w:rPr>
        <w:t xml:space="preserve">1 to avoid the complexity </w:t>
      </w:r>
      <w:r>
        <w:rPr>
          <w:sz w:val="22"/>
          <w:szCs w:val="22"/>
        </w:rPr>
        <w:t>that we</w:t>
      </w:r>
      <w:r w:rsidRPr="00E367A2">
        <w:rPr>
          <w:sz w:val="22"/>
          <w:szCs w:val="22"/>
        </w:rPr>
        <w:t xml:space="preserve"> s</w:t>
      </w:r>
      <w:r>
        <w:rPr>
          <w:sz w:val="22"/>
          <w:szCs w:val="22"/>
        </w:rPr>
        <w:t>aw</w:t>
      </w:r>
      <w:r w:rsidRPr="00E367A2">
        <w:rPr>
          <w:sz w:val="22"/>
          <w:szCs w:val="22"/>
        </w:rPr>
        <w:t xml:space="preserve"> in 5G where NTN was introduced as a nonnative extension and required adaptation of an already terrestrial</w:t>
      </w:r>
      <w:r>
        <w:rPr>
          <w:sz w:val="22"/>
          <w:szCs w:val="22"/>
        </w:rPr>
        <w:t xml:space="preserve"> </w:t>
      </w:r>
      <w:r w:rsidRPr="00E367A2">
        <w:rPr>
          <w:sz w:val="22"/>
          <w:szCs w:val="22"/>
        </w:rPr>
        <w:t xml:space="preserve">native measurement and mobility framework. </w:t>
      </w:r>
    </w:p>
    <w:p w14:paraId="5BB9CC98" w14:textId="3D8B08A4" w:rsidR="00916B02" w:rsidRPr="00916B02" w:rsidRDefault="00F00627" w:rsidP="00A56360">
      <w:pPr>
        <w:pStyle w:val="Heading2"/>
      </w:pPr>
      <w:r>
        <w:lastRenderedPageBreak/>
        <w:t>6G</w:t>
      </w:r>
      <w:r w:rsidR="00E367A2">
        <w:t xml:space="preserve"> Mobility related RRM</w:t>
      </w:r>
    </w:p>
    <w:p w14:paraId="7D4CB0E0" w14:textId="38A453E9" w:rsidR="000C797B" w:rsidRDefault="00610960" w:rsidP="00610960">
      <w:pPr>
        <w:jc w:val="both"/>
        <w:rPr>
          <w:sz w:val="22"/>
          <w:szCs w:val="22"/>
        </w:rPr>
      </w:pPr>
      <w:r w:rsidRPr="00610960">
        <w:rPr>
          <w:sz w:val="22"/>
          <w:szCs w:val="22"/>
        </w:rPr>
        <w:t>RAN4</w:t>
      </w:r>
      <w:r w:rsidR="003C1ED4">
        <w:rPr>
          <w:sz w:val="22"/>
          <w:szCs w:val="22"/>
        </w:rPr>
        <w:t xml:space="preserve"> </w:t>
      </w:r>
      <w:r>
        <w:rPr>
          <w:sz w:val="22"/>
          <w:szCs w:val="22"/>
        </w:rPr>
        <w:t xml:space="preserve">should take the lead in defining </w:t>
      </w:r>
      <w:r w:rsidRPr="00610960">
        <w:rPr>
          <w:sz w:val="22"/>
          <w:szCs w:val="22"/>
        </w:rPr>
        <w:t>requirement components and assumptions that will determine whether candidate mobility schemes can achieve low interruption, robust operation, and throughput continuity</w:t>
      </w:r>
      <w:r>
        <w:rPr>
          <w:sz w:val="22"/>
          <w:szCs w:val="22"/>
        </w:rPr>
        <w:t>, while RAN2 focuses on the signalling and other RAN2 specific aspects related to mobility.</w:t>
      </w:r>
      <w:r w:rsidRPr="00610960">
        <w:rPr>
          <w:sz w:val="22"/>
          <w:szCs w:val="22"/>
        </w:rPr>
        <w:t xml:space="preserve"> Several mobility</w:t>
      </w:r>
      <w:r>
        <w:rPr>
          <w:sz w:val="22"/>
          <w:szCs w:val="22"/>
        </w:rPr>
        <w:t xml:space="preserve"> </w:t>
      </w:r>
      <w:r w:rsidRPr="00610960">
        <w:rPr>
          <w:sz w:val="22"/>
          <w:szCs w:val="22"/>
        </w:rPr>
        <w:t>related RRM components can be progressed with limited dependency on detailed 6G HO signalling design, such as defining baseline handover delay and interruption component models and values, clarifying target</w:t>
      </w:r>
      <w:r w:rsidR="00730325">
        <w:rPr>
          <w:sz w:val="22"/>
          <w:szCs w:val="22"/>
        </w:rPr>
        <w:t xml:space="preserve"> </w:t>
      </w:r>
      <w:r w:rsidRPr="00610960">
        <w:rPr>
          <w:sz w:val="22"/>
          <w:szCs w:val="22"/>
        </w:rPr>
        <w:t>cell status assumptions beyond ambiguous known/unknown, and bounding interruptions/scheduling restrictions caused by measurement and mobility preparation activities</w:t>
      </w:r>
      <w:r>
        <w:rPr>
          <w:sz w:val="22"/>
          <w:szCs w:val="22"/>
        </w:rPr>
        <w:t>.</w:t>
      </w:r>
    </w:p>
    <w:p w14:paraId="46CF958E" w14:textId="4B544F46" w:rsidR="00470A9B" w:rsidRDefault="00470A9B" w:rsidP="00610960">
      <w:pPr>
        <w:jc w:val="both"/>
        <w:rPr>
          <w:sz w:val="22"/>
          <w:szCs w:val="22"/>
        </w:rPr>
      </w:pPr>
      <w:r w:rsidRPr="00470A9B">
        <w:rPr>
          <w:sz w:val="22"/>
          <w:szCs w:val="22"/>
        </w:rPr>
        <w:t xml:space="preserve">To support a unified mobility direction without </w:t>
      </w:r>
      <w:r>
        <w:rPr>
          <w:sz w:val="22"/>
          <w:szCs w:val="22"/>
        </w:rPr>
        <w:t>increasing</w:t>
      </w:r>
      <w:r w:rsidRPr="00470A9B">
        <w:rPr>
          <w:sz w:val="22"/>
          <w:szCs w:val="22"/>
        </w:rPr>
        <w:t xml:space="preserve"> requirement variants, RAN4 should consider a mobility</w:t>
      </w:r>
      <w:r>
        <w:rPr>
          <w:sz w:val="22"/>
          <w:szCs w:val="22"/>
        </w:rPr>
        <w:t xml:space="preserve"> </w:t>
      </w:r>
      <w:r w:rsidRPr="00470A9B">
        <w:rPr>
          <w:sz w:val="22"/>
          <w:szCs w:val="22"/>
        </w:rPr>
        <w:t>centric RRM approach that aligns requirement definitions around a consistent set of observable timing anchors, complements interruption requirements with a service</w:t>
      </w:r>
      <w:r>
        <w:rPr>
          <w:sz w:val="22"/>
          <w:szCs w:val="22"/>
        </w:rPr>
        <w:t xml:space="preserve"> </w:t>
      </w:r>
      <w:r w:rsidRPr="00470A9B">
        <w:rPr>
          <w:sz w:val="22"/>
          <w:szCs w:val="22"/>
        </w:rPr>
        <w:t>continuity metric that captures the effect of scheduling restrictions and measurement overhead</w:t>
      </w:r>
      <w:r>
        <w:rPr>
          <w:sz w:val="22"/>
          <w:szCs w:val="22"/>
        </w:rPr>
        <w:t>. Additionally,</w:t>
      </w:r>
      <w:r w:rsidRPr="00470A9B">
        <w:rPr>
          <w:sz w:val="22"/>
          <w:szCs w:val="22"/>
        </w:rPr>
        <w:t xml:space="preserve"> </w:t>
      </w:r>
      <w:r>
        <w:rPr>
          <w:sz w:val="22"/>
          <w:szCs w:val="22"/>
        </w:rPr>
        <w:t xml:space="preserve">RAN4 should </w:t>
      </w:r>
      <w:r w:rsidRPr="00470A9B">
        <w:rPr>
          <w:sz w:val="22"/>
          <w:szCs w:val="22"/>
        </w:rPr>
        <w:t>ensures that mobility requirements remain meaningful under evolving RS designs and high</w:t>
      </w:r>
      <w:r>
        <w:rPr>
          <w:sz w:val="22"/>
          <w:szCs w:val="22"/>
        </w:rPr>
        <w:t xml:space="preserve"> </w:t>
      </w:r>
      <w:r w:rsidRPr="00470A9B">
        <w:rPr>
          <w:sz w:val="22"/>
          <w:szCs w:val="22"/>
        </w:rPr>
        <w:t>mobility conditions. This can be done without re</w:t>
      </w:r>
      <w:r w:rsidRPr="00470A9B">
        <w:rPr>
          <w:sz w:val="22"/>
          <w:szCs w:val="22"/>
        </w:rPr>
        <w:noBreakHyphen/>
        <w:t>opening the full mobility procedure design, while still enabling RAN2/RAN1 to evaluate mobility solutions against a stable, testable RAN4 baseline</w:t>
      </w:r>
      <w:r>
        <w:rPr>
          <w:sz w:val="22"/>
          <w:szCs w:val="22"/>
        </w:rPr>
        <w:t>.</w:t>
      </w:r>
    </w:p>
    <w:p w14:paraId="234C77BB" w14:textId="3425D191" w:rsidR="00914C91" w:rsidRPr="00610960" w:rsidRDefault="00470A9B" w:rsidP="00610960">
      <w:pPr>
        <w:jc w:val="both"/>
        <w:rPr>
          <w:sz w:val="22"/>
          <w:szCs w:val="22"/>
        </w:rPr>
      </w:pPr>
      <w:r w:rsidRPr="00470A9B">
        <w:rPr>
          <w:sz w:val="22"/>
          <w:szCs w:val="22"/>
        </w:rPr>
        <w:t>In NR, the same mobility</w:t>
      </w:r>
      <w:r>
        <w:rPr>
          <w:sz w:val="22"/>
          <w:szCs w:val="22"/>
        </w:rPr>
        <w:t xml:space="preserve"> </w:t>
      </w:r>
      <w:r w:rsidRPr="00470A9B">
        <w:rPr>
          <w:sz w:val="22"/>
          <w:szCs w:val="22"/>
        </w:rPr>
        <w:t>related physical actions (e.g. search/identification, synchronization, processing) are reused across different mobility procedures, but requirement definitions are not always anchored to a single set of timing reference points that cleanly separate UE processing, RS availability, and scheduling behaviour. This makes it harder to compare mobility solutions fairly and increases the risk that future 6G mobility schemes become different names for the same underlying actions with different requirement interpretations</w:t>
      </w:r>
      <w:r>
        <w:rPr>
          <w:sz w:val="22"/>
          <w:szCs w:val="22"/>
        </w:rPr>
        <w:t>.</w:t>
      </w:r>
      <w:r w:rsidR="00914C91">
        <w:rPr>
          <w:sz w:val="22"/>
          <w:szCs w:val="22"/>
        </w:rPr>
        <w:t xml:space="preserve"> </w:t>
      </w:r>
      <w:r w:rsidR="00914C91" w:rsidRPr="00914C91">
        <w:rPr>
          <w:sz w:val="22"/>
          <w:szCs w:val="22"/>
        </w:rPr>
        <w:t>Mobility performance experienced by applications depends not only on interruption time but also on cumulative unavailability from measurement gaps and scheduling restrictions. In NR frameworks, measurement</w:t>
      </w:r>
      <w:r w:rsidR="00914C91">
        <w:rPr>
          <w:sz w:val="22"/>
          <w:szCs w:val="22"/>
        </w:rPr>
        <w:t xml:space="preserve"> </w:t>
      </w:r>
      <w:r w:rsidR="00914C91" w:rsidRPr="00914C91">
        <w:rPr>
          <w:sz w:val="22"/>
          <w:szCs w:val="22"/>
        </w:rPr>
        <w:t>driven gaps can cause measurable throughput loss and create scheduling constraints for the network, so a mobility KPI set that only tracks a single interruption value risks missing service continuity impacts.</w:t>
      </w:r>
      <w:r w:rsidR="00C55830">
        <w:rPr>
          <w:sz w:val="22"/>
          <w:szCs w:val="22"/>
        </w:rPr>
        <w:t xml:space="preserve"> </w:t>
      </w:r>
      <w:r w:rsidR="00C55830" w:rsidRPr="00C55830">
        <w:rPr>
          <w:sz w:val="22"/>
          <w:szCs w:val="22"/>
        </w:rPr>
        <w:t>This metric should account for cumulative time/frequency unavailability caused by measurement</w:t>
      </w:r>
      <w:r w:rsidR="00C55830">
        <w:rPr>
          <w:sz w:val="22"/>
          <w:szCs w:val="22"/>
        </w:rPr>
        <w:t xml:space="preserve"> and </w:t>
      </w:r>
      <w:r w:rsidR="00C55830" w:rsidRPr="00C55830">
        <w:rPr>
          <w:sz w:val="22"/>
          <w:szCs w:val="22"/>
        </w:rPr>
        <w:t>mobility preparation activities and should enable RAN4 to discuss throughput degradation during mobility</w:t>
      </w:r>
      <w:r w:rsidR="00C55830">
        <w:rPr>
          <w:sz w:val="22"/>
          <w:szCs w:val="22"/>
        </w:rPr>
        <w:t xml:space="preserve"> related discussions</w:t>
      </w:r>
      <w:r w:rsidR="00C55830" w:rsidRPr="00C55830">
        <w:rPr>
          <w:sz w:val="22"/>
          <w:szCs w:val="22"/>
        </w:rPr>
        <w:t>, rather than relying on interruption time alone.</w:t>
      </w:r>
    </w:p>
    <w:p w14:paraId="31BA3389" w14:textId="7C1A77D4" w:rsidR="000C797B" w:rsidRPr="005D621C" w:rsidRDefault="00610960" w:rsidP="00914C91">
      <w:pPr>
        <w:spacing w:after="120"/>
        <w:jc w:val="both"/>
        <w:rPr>
          <w:b/>
          <w:sz w:val="22"/>
          <w:szCs w:val="22"/>
        </w:rPr>
      </w:pPr>
      <w:r w:rsidRPr="005D621C">
        <w:rPr>
          <w:b/>
          <w:sz w:val="22"/>
          <w:szCs w:val="22"/>
        </w:rPr>
        <w:t>Observation 1:</w:t>
      </w:r>
      <w:r w:rsidR="00914C91" w:rsidRPr="005D621C">
        <w:rPr>
          <w:b/>
          <w:sz w:val="22"/>
          <w:szCs w:val="22"/>
        </w:rPr>
        <w:t xml:space="preserve"> Mobility KPI framework that only tracks interruption time may </w:t>
      </w:r>
      <w:r w:rsidR="00B21816">
        <w:rPr>
          <w:b/>
          <w:sz w:val="22"/>
          <w:szCs w:val="22"/>
        </w:rPr>
        <w:t>understate</w:t>
      </w:r>
      <w:r w:rsidR="00914C91" w:rsidRPr="005D621C">
        <w:rPr>
          <w:b/>
          <w:sz w:val="22"/>
          <w:szCs w:val="22"/>
        </w:rPr>
        <w:t xml:space="preserve"> service continuity and throughput impacts.</w:t>
      </w:r>
    </w:p>
    <w:p w14:paraId="3ED9146D" w14:textId="6386D2AC" w:rsidR="00C67B67" w:rsidRPr="005D621C" w:rsidRDefault="00C67B67" w:rsidP="00914C91">
      <w:pPr>
        <w:spacing w:after="120"/>
        <w:jc w:val="both"/>
        <w:rPr>
          <w:b/>
          <w:sz w:val="22"/>
          <w:szCs w:val="22"/>
        </w:rPr>
      </w:pPr>
      <w:r w:rsidRPr="005D621C">
        <w:rPr>
          <w:b/>
          <w:sz w:val="22"/>
          <w:szCs w:val="22"/>
        </w:rPr>
        <w:t>Proposal 1: RAN4 to include service continuity as</w:t>
      </w:r>
      <w:r w:rsidR="00B21816">
        <w:rPr>
          <w:b/>
          <w:sz w:val="22"/>
          <w:szCs w:val="22"/>
        </w:rPr>
        <w:t xml:space="preserve"> a</w:t>
      </w:r>
      <w:r w:rsidRPr="005D621C">
        <w:rPr>
          <w:b/>
          <w:sz w:val="22"/>
          <w:szCs w:val="22"/>
        </w:rPr>
        <w:t xml:space="preserve"> metric for mobility related study.</w:t>
      </w:r>
    </w:p>
    <w:p w14:paraId="0A473F45" w14:textId="77777777" w:rsidR="005D621C" w:rsidRPr="005D621C" w:rsidRDefault="005D621C" w:rsidP="00914C91">
      <w:pPr>
        <w:spacing w:after="120"/>
        <w:jc w:val="both"/>
        <w:rPr>
          <w:b/>
          <w:sz w:val="8"/>
          <w:szCs w:val="8"/>
        </w:rPr>
      </w:pPr>
    </w:p>
    <w:p w14:paraId="43DCD255" w14:textId="508C3453" w:rsidR="00914C91" w:rsidRPr="002D082F" w:rsidRDefault="002D082F" w:rsidP="002D082F">
      <w:pPr>
        <w:spacing w:after="120"/>
        <w:jc w:val="both"/>
        <w:rPr>
          <w:bCs/>
          <w:sz w:val="22"/>
          <w:szCs w:val="22"/>
        </w:rPr>
      </w:pPr>
      <w:r w:rsidRPr="002D082F">
        <w:rPr>
          <w:bCs/>
          <w:sz w:val="22"/>
          <w:szCs w:val="22"/>
        </w:rPr>
        <w:t>If 6G adopts longer default synchronization periodicities, mobility and measurement delay can become dominated by RS sampling opportunities rather than by UE processing capability</w:t>
      </w:r>
      <w:r>
        <w:rPr>
          <w:bCs/>
          <w:sz w:val="22"/>
          <w:szCs w:val="22"/>
        </w:rPr>
        <w:t>. F</w:t>
      </w:r>
      <w:r w:rsidRPr="002D082F">
        <w:rPr>
          <w:bCs/>
          <w:sz w:val="22"/>
          <w:szCs w:val="22"/>
        </w:rPr>
        <w:t>or example, extending SSB periodicity can significantly inflate L3 measurement latency unless requirements and test assumptions are updated accordingly. This is especially critical for high</w:t>
      </w:r>
      <w:r>
        <w:rPr>
          <w:bCs/>
          <w:sz w:val="22"/>
          <w:szCs w:val="22"/>
        </w:rPr>
        <w:t xml:space="preserve"> </w:t>
      </w:r>
      <w:r w:rsidRPr="002D082F">
        <w:rPr>
          <w:bCs/>
          <w:sz w:val="22"/>
          <w:szCs w:val="22"/>
        </w:rPr>
        <w:t>mobility UEs where measurement</w:t>
      </w:r>
      <w:r>
        <w:rPr>
          <w:bCs/>
          <w:sz w:val="22"/>
          <w:szCs w:val="22"/>
        </w:rPr>
        <w:t xml:space="preserve"> validity</w:t>
      </w:r>
      <w:r w:rsidRPr="002D082F">
        <w:rPr>
          <w:bCs/>
          <w:sz w:val="22"/>
          <w:szCs w:val="22"/>
        </w:rPr>
        <w:t xml:space="preserve"> degrades quickly.</w:t>
      </w:r>
    </w:p>
    <w:p w14:paraId="56A1468B" w14:textId="18F5D41E" w:rsidR="005824DC" w:rsidRDefault="008E27EB" w:rsidP="000160DA">
      <w:pPr>
        <w:jc w:val="both"/>
        <w:rPr>
          <w:b/>
          <w:bCs/>
          <w:sz w:val="22"/>
          <w:szCs w:val="22"/>
        </w:rPr>
      </w:pPr>
      <w:r w:rsidRPr="008E27EB">
        <w:rPr>
          <w:b/>
          <w:bCs/>
          <w:sz w:val="22"/>
          <w:szCs w:val="22"/>
        </w:rPr>
        <w:t>Observation 2:</w:t>
      </w:r>
      <w:r>
        <w:rPr>
          <w:b/>
          <w:bCs/>
          <w:sz w:val="22"/>
          <w:szCs w:val="22"/>
        </w:rPr>
        <w:t xml:space="preserve"> Larger SSB periodicity can significantly increase the measurement latency.</w:t>
      </w:r>
    </w:p>
    <w:p w14:paraId="1D3BFA37" w14:textId="402057B6" w:rsidR="00DE738A" w:rsidRDefault="00A80979" w:rsidP="000160DA">
      <w:pPr>
        <w:jc w:val="both"/>
        <w:rPr>
          <w:b/>
          <w:bCs/>
          <w:sz w:val="22"/>
          <w:szCs w:val="22"/>
        </w:rPr>
      </w:pPr>
      <w:r>
        <w:rPr>
          <w:b/>
          <w:bCs/>
          <w:sz w:val="22"/>
          <w:szCs w:val="22"/>
        </w:rPr>
        <w:t>Proposal 2:</w:t>
      </w:r>
      <w:r w:rsidR="001C7C6A">
        <w:rPr>
          <w:b/>
          <w:bCs/>
          <w:sz w:val="22"/>
          <w:szCs w:val="22"/>
        </w:rPr>
        <w:t xml:space="preserve"> </w:t>
      </w:r>
      <w:r w:rsidR="001C7C6A" w:rsidRPr="001C7C6A">
        <w:rPr>
          <w:b/>
          <w:bCs/>
          <w:sz w:val="22"/>
          <w:szCs w:val="22"/>
        </w:rPr>
        <w:t>RAN4 should study the effect of longer SSB periodicity in measurement delay requirements especially for high mobility scenarios</w:t>
      </w:r>
      <w:r w:rsidR="001C7C6A">
        <w:rPr>
          <w:b/>
          <w:bCs/>
          <w:sz w:val="22"/>
          <w:szCs w:val="22"/>
        </w:rPr>
        <w:t>.</w:t>
      </w:r>
    </w:p>
    <w:p w14:paraId="1248804C" w14:textId="77777777" w:rsidR="001C7C6A" w:rsidRPr="001C7C6A" w:rsidRDefault="001C7C6A" w:rsidP="000160DA">
      <w:pPr>
        <w:jc w:val="both"/>
        <w:rPr>
          <w:b/>
          <w:bCs/>
          <w:sz w:val="22"/>
          <w:szCs w:val="22"/>
        </w:rPr>
      </w:pPr>
    </w:p>
    <w:p w14:paraId="53568111" w14:textId="7DA386F5" w:rsidR="00DE738A" w:rsidRDefault="00DE738A" w:rsidP="00DE738A">
      <w:pPr>
        <w:pStyle w:val="Heading2"/>
      </w:pPr>
      <w:r w:rsidRPr="00DE738A">
        <w:t>NTN related RRM</w:t>
      </w:r>
    </w:p>
    <w:p w14:paraId="68200797" w14:textId="19E4BA7D" w:rsidR="00A03927" w:rsidRPr="00A03927" w:rsidRDefault="00A03927" w:rsidP="00A03927">
      <w:pPr>
        <w:pStyle w:val="Heading3"/>
      </w:pPr>
      <w:r>
        <w:t>Integrated TN-NTN</w:t>
      </w:r>
    </w:p>
    <w:p w14:paraId="27871576" w14:textId="6603A22E" w:rsidR="00DE738A" w:rsidRPr="00A80979" w:rsidRDefault="00A80979" w:rsidP="00A80979">
      <w:pPr>
        <w:jc w:val="both"/>
        <w:rPr>
          <w:sz w:val="22"/>
          <w:szCs w:val="22"/>
        </w:rPr>
      </w:pPr>
      <w:r w:rsidRPr="00A80979">
        <w:rPr>
          <w:sz w:val="22"/>
          <w:szCs w:val="22"/>
        </w:rPr>
        <w:t>In NR, NTN RRM support was introduced after terrestrial</w:t>
      </w:r>
      <w:r>
        <w:rPr>
          <w:sz w:val="22"/>
          <w:szCs w:val="22"/>
        </w:rPr>
        <w:t xml:space="preserve"> </w:t>
      </w:r>
      <w:r w:rsidRPr="00A80979">
        <w:rPr>
          <w:sz w:val="22"/>
          <w:szCs w:val="22"/>
        </w:rPr>
        <w:t>native foundations were already established, which required adapting the existing measurement</w:t>
      </w:r>
      <w:r>
        <w:rPr>
          <w:sz w:val="22"/>
          <w:szCs w:val="22"/>
        </w:rPr>
        <w:t xml:space="preserve"> and </w:t>
      </w:r>
      <w:r w:rsidRPr="00A80979">
        <w:rPr>
          <w:sz w:val="22"/>
          <w:szCs w:val="22"/>
        </w:rPr>
        <w:t>mobility framework to NTN characteristics such as longer</w:t>
      </w:r>
      <w:r>
        <w:rPr>
          <w:sz w:val="22"/>
          <w:szCs w:val="22"/>
        </w:rPr>
        <w:t xml:space="preserve"> </w:t>
      </w:r>
      <w:r w:rsidRPr="00A80979">
        <w:rPr>
          <w:sz w:val="22"/>
          <w:szCs w:val="22"/>
        </w:rPr>
        <w:t xml:space="preserve">varying propagation delays and different synchronization </w:t>
      </w:r>
      <w:r>
        <w:rPr>
          <w:sz w:val="22"/>
          <w:szCs w:val="22"/>
        </w:rPr>
        <w:t>requirements</w:t>
      </w:r>
      <w:r w:rsidRPr="00A80979">
        <w:rPr>
          <w:sz w:val="22"/>
          <w:szCs w:val="22"/>
        </w:rPr>
        <w:t>. This has contributed to increased configuration combinations, special cases, and dependence on optional capability combinations for applicability.</w:t>
      </w:r>
      <w:r>
        <w:rPr>
          <w:sz w:val="22"/>
          <w:szCs w:val="22"/>
        </w:rPr>
        <w:t xml:space="preserve"> </w:t>
      </w:r>
      <w:r w:rsidR="009E4AE7" w:rsidRPr="009E4AE7">
        <w:rPr>
          <w:sz w:val="22"/>
          <w:szCs w:val="22"/>
        </w:rPr>
        <w:t xml:space="preserve">At the same time, 5G NTN introduced additional mechanisms and requirements </w:t>
      </w:r>
      <w:r w:rsidR="009E4AE7">
        <w:rPr>
          <w:sz w:val="22"/>
          <w:szCs w:val="22"/>
        </w:rPr>
        <w:t>designed</w:t>
      </w:r>
      <w:r w:rsidR="009E4AE7" w:rsidRPr="009E4AE7">
        <w:rPr>
          <w:sz w:val="22"/>
          <w:szCs w:val="22"/>
        </w:rPr>
        <w:t xml:space="preserve"> to NTN </w:t>
      </w:r>
      <w:r w:rsidR="009E4AE7">
        <w:rPr>
          <w:sz w:val="22"/>
          <w:szCs w:val="22"/>
        </w:rPr>
        <w:lastRenderedPageBreak/>
        <w:t>specific characteristics such as</w:t>
      </w:r>
      <w:r w:rsidR="009E4AE7" w:rsidRPr="009E4AE7">
        <w:rPr>
          <w:sz w:val="22"/>
          <w:szCs w:val="22"/>
        </w:rPr>
        <w:t xml:space="preserve"> different reselection</w:t>
      </w:r>
      <w:r w:rsidR="009E4AE7">
        <w:rPr>
          <w:sz w:val="22"/>
          <w:szCs w:val="22"/>
        </w:rPr>
        <w:t xml:space="preserve"> and </w:t>
      </w:r>
      <w:r w:rsidR="009E4AE7" w:rsidRPr="009E4AE7">
        <w:rPr>
          <w:sz w:val="22"/>
          <w:szCs w:val="22"/>
        </w:rPr>
        <w:t>CHO principles and SMTC differences, which further widened the gap between TN and NTN handling</w:t>
      </w:r>
      <w:r w:rsidR="009E4AE7">
        <w:rPr>
          <w:sz w:val="22"/>
          <w:szCs w:val="22"/>
        </w:rPr>
        <w:t xml:space="preserve">. </w:t>
      </w:r>
    </w:p>
    <w:p w14:paraId="6A047D40" w14:textId="277BADB6" w:rsidR="00DE738A" w:rsidRDefault="00141299" w:rsidP="00141299">
      <w:pPr>
        <w:jc w:val="both"/>
        <w:rPr>
          <w:sz w:val="22"/>
          <w:szCs w:val="22"/>
        </w:rPr>
      </w:pPr>
      <w:r w:rsidRPr="00141299">
        <w:rPr>
          <w:sz w:val="22"/>
          <w:szCs w:val="22"/>
        </w:rPr>
        <w:t>For 6G, where</w:t>
      </w:r>
      <w:r>
        <w:rPr>
          <w:sz w:val="22"/>
          <w:szCs w:val="22"/>
        </w:rPr>
        <w:t xml:space="preserve"> </w:t>
      </w:r>
      <w:r w:rsidRPr="00141299">
        <w:rPr>
          <w:sz w:val="22"/>
          <w:szCs w:val="22"/>
        </w:rPr>
        <w:t>TN</w:t>
      </w:r>
      <w:r>
        <w:rPr>
          <w:sz w:val="22"/>
          <w:szCs w:val="22"/>
        </w:rPr>
        <w:t>-</w:t>
      </w:r>
      <w:r w:rsidRPr="00141299">
        <w:rPr>
          <w:sz w:val="22"/>
          <w:szCs w:val="22"/>
        </w:rPr>
        <w:t>NTN integration is a</w:t>
      </w:r>
      <w:r w:rsidR="00442D61">
        <w:rPr>
          <w:sz w:val="22"/>
          <w:szCs w:val="22"/>
        </w:rPr>
        <w:t>n agreed</w:t>
      </w:r>
      <w:r w:rsidRPr="00141299">
        <w:rPr>
          <w:sz w:val="22"/>
          <w:szCs w:val="22"/>
        </w:rPr>
        <w:t xml:space="preserve"> objective, RAN4 has an opportunity to avoid repeating the late adaptation pattern by framing NTN requirements in a way that is unified by construction. A key enabler is to express requirements using explicit physical uncertainty parameters </w:t>
      </w:r>
      <w:r>
        <w:rPr>
          <w:sz w:val="22"/>
          <w:szCs w:val="22"/>
        </w:rPr>
        <w:t xml:space="preserve">like </w:t>
      </w:r>
      <w:r w:rsidRPr="00141299">
        <w:rPr>
          <w:sz w:val="22"/>
          <w:szCs w:val="22"/>
        </w:rPr>
        <w:t xml:space="preserve">timing uncertainty, </w:t>
      </w:r>
      <w:r>
        <w:rPr>
          <w:sz w:val="22"/>
          <w:szCs w:val="22"/>
        </w:rPr>
        <w:t>d</w:t>
      </w:r>
      <w:r w:rsidRPr="00141299">
        <w:rPr>
          <w:sz w:val="22"/>
          <w:szCs w:val="22"/>
        </w:rPr>
        <w:t xml:space="preserve">oppler </w:t>
      </w:r>
      <w:r>
        <w:rPr>
          <w:sz w:val="22"/>
          <w:szCs w:val="22"/>
        </w:rPr>
        <w:t>effects</w:t>
      </w:r>
      <w:r w:rsidRPr="00141299">
        <w:rPr>
          <w:sz w:val="22"/>
          <w:szCs w:val="22"/>
        </w:rPr>
        <w:t>, prediction validity</w:t>
      </w:r>
      <w:r>
        <w:rPr>
          <w:sz w:val="22"/>
          <w:szCs w:val="22"/>
        </w:rPr>
        <w:t xml:space="preserve"> etc.</w:t>
      </w:r>
      <w:r w:rsidRPr="00141299">
        <w:rPr>
          <w:sz w:val="22"/>
          <w:szCs w:val="22"/>
        </w:rPr>
        <w:t xml:space="preserve"> rather than introducing additional NTN</w:t>
      </w:r>
      <w:r>
        <w:rPr>
          <w:sz w:val="22"/>
          <w:szCs w:val="22"/>
        </w:rPr>
        <w:t xml:space="preserve"> </w:t>
      </w:r>
      <w:r w:rsidRPr="00141299">
        <w:rPr>
          <w:sz w:val="22"/>
          <w:szCs w:val="22"/>
        </w:rPr>
        <w:t xml:space="preserve">only procedural exceptions. </w:t>
      </w:r>
      <w:r>
        <w:rPr>
          <w:sz w:val="22"/>
          <w:szCs w:val="22"/>
        </w:rPr>
        <w:t xml:space="preserve">Additionally, this </w:t>
      </w:r>
      <w:r w:rsidRPr="00141299">
        <w:rPr>
          <w:sz w:val="22"/>
          <w:szCs w:val="22"/>
        </w:rPr>
        <w:t>can keep the framework implementable and verifiable, while still allowing NTN</w:t>
      </w:r>
      <w:r>
        <w:rPr>
          <w:sz w:val="22"/>
          <w:szCs w:val="22"/>
        </w:rPr>
        <w:t xml:space="preserve"> </w:t>
      </w:r>
      <w:r w:rsidRPr="00141299">
        <w:rPr>
          <w:sz w:val="22"/>
          <w:szCs w:val="22"/>
        </w:rPr>
        <w:t xml:space="preserve">specific </w:t>
      </w:r>
      <w:r>
        <w:rPr>
          <w:sz w:val="22"/>
          <w:szCs w:val="22"/>
        </w:rPr>
        <w:t>characteristics like</w:t>
      </w:r>
      <w:r w:rsidRPr="00141299">
        <w:rPr>
          <w:sz w:val="22"/>
          <w:szCs w:val="22"/>
        </w:rPr>
        <w:t xml:space="preserve"> inter</w:t>
      </w:r>
      <w:r>
        <w:rPr>
          <w:sz w:val="22"/>
          <w:szCs w:val="22"/>
        </w:rPr>
        <w:t xml:space="preserve"> </w:t>
      </w:r>
      <w:r w:rsidRPr="00141299">
        <w:rPr>
          <w:sz w:val="22"/>
          <w:szCs w:val="22"/>
        </w:rPr>
        <w:t>satellite measurement opportunities, satellite switching behaviour, and UE diversity to be represented transparently in the requirement model.</w:t>
      </w:r>
      <w:r w:rsidR="00442D61">
        <w:rPr>
          <w:sz w:val="22"/>
          <w:szCs w:val="22"/>
        </w:rPr>
        <w:t xml:space="preserve"> </w:t>
      </w:r>
      <w:r w:rsidR="00442D61" w:rsidRPr="00442D61">
        <w:rPr>
          <w:sz w:val="22"/>
          <w:szCs w:val="22"/>
        </w:rPr>
        <w:t>When NTN is treated as an add</w:t>
      </w:r>
      <w:r w:rsidR="00442D61">
        <w:rPr>
          <w:sz w:val="22"/>
          <w:szCs w:val="22"/>
        </w:rPr>
        <w:t xml:space="preserve"> </w:t>
      </w:r>
      <w:r w:rsidR="00442D61" w:rsidRPr="00442D61">
        <w:rPr>
          <w:sz w:val="22"/>
          <w:szCs w:val="22"/>
        </w:rPr>
        <w:t>on to a TN</w:t>
      </w:r>
      <w:r w:rsidR="00442D61">
        <w:rPr>
          <w:sz w:val="22"/>
          <w:szCs w:val="22"/>
        </w:rPr>
        <w:t xml:space="preserve"> </w:t>
      </w:r>
      <w:r w:rsidR="00442D61" w:rsidRPr="00442D61">
        <w:rPr>
          <w:sz w:val="22"/>
          <w:szCs w:val="22"/>
        </w:rPr>
        <w:t>native baseline, the standard tends to accumulate NTN</w:t>
      </w:r>
      <w:r w:rsidR="00442D61">
        <w:rPr>
          <w:sz w:val="22"/>
          <w:szCs w:val="22"/>
        </w:rPr>
        <w:t xml:space="preserve"> </w:t>
      </w:r>
      <w:r w:rsidR="00442D61" w:rsidRPr="00442D61">
        <w:rPr>
          <w:sz w:val="22"/>
          <w:szCs w:val="22"/>
        </w:rPr>
        <w:t>only special cases and procedure</w:t>
      </w:r>
      <w:r w:rsidR="00442D61">
        <w:rPr>
          <w:sz w:val="22"/>
          <w:szCs w:val="22"/>
        </w:rPr>
        <w:t xml:space="preserve"> </w:t>
      </w:r>
      <w:r w:rsidR="00442D61" w:rsidRPr="00442D61">
        <w:rPr>
          <w:sz w:val="22"/>
          <w:szCs w:val="22"/>
        </w:rPr>
        <w:t>specific requirement tables, which increases long</w:t>
      </w:r>
      <w:r w:rsidR="00442D61">
        <w:rPr>
          <w:sz w:val="22"/>
          <w:szCs w:val="22"/>
        </w:rPr>
        <w:t xml:space="preserve"> </w:t>
      </w:r>
      <w:r w:rsidR="00442D61" w:rsidRPr="00442D61">
        <w:rPr>
          <w:sz w:val="22"/>
          <w:szCs w:val="22"/>
        </w:rPr>
        <w:t>term divergence and can make requirements harder to apply consistently across diverse UE implementations</w:t>
      </w:r>
      <w:r w:rsidR="00442D61">
        <w:rPr>
          <w:sz w:val="22"/>
          <w:szCs w:val="22"/>
        </w:rPr>
        <w:t>.</w:t>
      </w:r>
    </w:p>
    <w:p w14:paraId="47E58C01" w14:textId="262CCB28" w:rsidR="00FA76A2" w:rsidRDefault="00442D61" w:rsidP="00141299">
      <w:pPr>
        <w:jc w:val="both"/>
        <w:rPr>
          <w:b/>
          <w:bCs/>
          <w:sz w:val="24"/>
          <w:szCs w:val="24"/>
        </w:rPr>
      </w:pPr>
      <w:r w:rsidRPr="00442D61">
        <w:rPr>
          <w:b/>
          <w:bCs/>
          <w:sz w:val="22"/>
          <w:szCs w:val="22"/>
        </w:rPr>
        <w:t>Observations 3:</w:t>
      </w:r>
      <w:r>
        <w:rPr>
          <w:b/>
          <w:bCs/>
          <w:sz w:val="22"/>
          <w:szCs w:val="22"/>
        </w:rPr>
        <w:t xml:space="preserve"> Adding NTN on top of TN centric framework has led to requirements that are hard to apply widely, especially when they rely on optional features or implicit assumptions on UE architecture. </w:t>
      </w:r>
      <w:r w:rsidRPr="00442D61">
        <w:rPr>
          <w:b/>
          <w:bCs/>
          <w:sz w:val="24"/>
          <w:szCs w:val="24"/>
        </w:rPr>
        <w:t xml:space="preserve"> </w:t>
      </w:r>
    </w:p>
    <w:p w14:paraId="1241F370" w14:textId="507C713F" w:rsidR="00442D61" w:rsidRDefault="00BE23F4" w:rsidP="00141299">
      <w:pPr>
        <w:jc w:val="both"/>
        <w:rPr>
          <w:b/>
          <w:bCs/>
          <w:sz w:val="22"/>
          <w:szCs w:val="22"/>
        </w:rPr>
      </w:pPr>
      <w:r w:rsidRPr="00BE23F4">
        <w:rPr>
          <w:b/>
          <w:bCs/>
          <w:sz w:val="22"/>
          <w:szCs w:val="22"/>
        </w:rPr>
        <w:t>Proposal 3:</w:t>
      </w:r>
      <w:r>
        <w:rPr>
          <w:b/>
          <w:bCs/>
          <w:sz w:val="22"/>
          <w:szCs w:val="22"/>
        </w:rPr>
        <w:t xml:space="preserve"> </w:t>
      </w:r>
      <w:r w:rsidRPr="00BE23F4">
        <w:rPr>
          <w:b/>
          <w:bCs/>
          <w:sz w:val="22"/>
          <w:szCs w:val="22"/>
        </w:rPr>
        <w:t>RAN4 should study a single parameterized TN</w:t>
      </w:r>
      <w:r>
        <w:rPr>
          <w:b/>
          <w:bCs/>
          <w:sz w:val="22"/>
          <w:szCs w:val="22"/>
        </w:rPr>
        <w:t>-</w:t>
      </w:r>
      <w:r w:rsidRPr="00BE23F4">
        <w:rPr>
          <w:b/>
          <w:bCs/>
          <w:sz w:val="22"/>
          <w:szCs w:val="22"/>
        </w:rPr>
        <w:t>NTN requirement formulation</w:t>
      </w:r>
      <w:r>
        <w:rPr>
          <w:b/>
          <w:bCs/>
          <w:sz w:val="22"/>
          <w:szCs w:val="22"/>
        </w:rPr>
        <w:t>.</w:t>
      </w:r>
    </w:p>
    <w:p w14:paraId="1386E4BC" w14:textId="77777777" w:rsidR="00332A41" w:rsidRDefault="00332A41" w:rsidP="00141299">
      <w:pPr>
        <w:jc w:val="both"/>
        <w:rPr>
          <w:sz w:val="22"/>
          <w:szCs w:val="22"/>
        </w:rPr>
      </w:pPr>
      <w:r w:rsidRPr="00332A41">
        <w:rPr>
          <w:sz w:val="22"/>
          <w:szCs w:val="22"/>
        </w:rPr>
        <w:t>Inter</w:t>
      </w:r>
      <w:r>
        <w:rPr>
          <w:sz w:val="22"/>
          <w:szCs w:val="22"/>
        </w:rPr>
        <w:t xml:space="preserve"> </w:t>
      </w:r>
      <w:r w:rsidRPr="00332A41">
        <w:rPr>
          <w:sz w:val="22"/>
          <w:szCs w:val="22"/>
        </w:rPr>
        <w:t xml:space="preserve">satellite measurement brings many configuration combinations </w:t>
      </w:r>
      <w:r>
        <w:rPr>
          <w:sz w:val="22"/>
          <w:szCs w:val="22"/>
        </w:rPr>
        <w:t xml:space="preserve">such as </w:t>
      </w:r>
      <w:r w:rsidRPr="00332A41">
        <w:rPr>
          <w:sz w:val="22"/>
          <w:szCs w:val="22"/>
        </w:rPr>
        <w:t xml:space="preserve">multiple MGs and multiple SMTC periodicities, which </w:t>
      </w:r>
      <w:r>
        <w:rPr>
          <w:sz w:val="22"/>
          <w:szCs w:val="22"/>
        </w:rPr>
        <w:t xml:space="preserve">may </w:t>
      </w:r>
      <w:r w:rsidRPr="00332A41">
        <w:rPr>
          <w:sz w:val="22"/>
          <w:szCs w:val="22"/>
        </w:rPr>
        <w:t>increase</w:t>
      </w:r>
      <w:r>
        <w:rPr>
          <w:sz w:val="22"/>
          <w:szCs w:val="22"/>
        </w:rPr>
        <w:t xml:space="preserve"> </w:t>
      </w:r>
      <w:r w:rsidRPr="00332A41">
        <w:rPr>
          <w:sz w:val="22"/>
          <w:szCs w:val="22"/>
        </w:rPr>
        <w:t>overlap cases</w:t>
      </w:r>
      <w:r>
        <w:rPr>
          <w:sz w:val="22"/>
          <w:szCs w:val="22"/>
        </w:rPr>
        <w:t>.</w:t>
      </w:r>
      <w:r w:rsidRPr="00332A41">
        <w:rPr>
          <w:sz w:val="22"/>
          <w:szCs w:val="22"/>
        </w:rPr>
        <w:t xml:space="preserve"> </w:t>
      </w:r>
      <w:r>
        <w:rPr>
          <w:sz w:val="22"/>
          <w:szCs w:val="22"/>
        </w:rPr>
        <w:t>I</w:t>
      </w:r>
      <w:r w:rsidRPr="00332A41">
        <w:rPr>
          <w:sz w:val="22"/>
          <w:szCs w:val="22"/>
        </w:rPr>
        <w:t>f parallel measurement capability varies by UE, one configuration fits all assumptions often fail and requirements become fragile or non</w:t>
      </w:r>
      <w:r>
        <w:rPr>
          <w:sz w:val="22"/>
          <w:szCs w:val="22"/>
        </w:rPr>
        <w:t>-</w:t>
      </w:r>
      <w:r w:rsidRPr="00332A41">
        <w:rPr>
          <w:sz w:val="22"/>
          <w:szCs w:val="22"/>
        </w:rPr>
        <w:t>universal.</w:t>
      </w:r>
      <w:r>
        <w:rPr>
          <w:sz w:val="22"/>
          <w:szCs w:val="22"/>
        </w:rPr>
        <w:t xml:space="preserve"> </w:t>
      </w:r>
    </w:p>
    <w:p w14:paraId="7C948FC1" w14:textId="049998C8" w:rsidR="00332A41" w:rsidRPr="00BE23F4" w:rsidRDefault="00332A41" w:rsidP="00141299">
      <w:pPr>
        <w:jc w:val="both"/>
        <w:rPr>
          <w:sz w:val="22"/>
          <w:szCs w:val="22"/>
        </w:rPr>
      </w:pPr>
      <w:r w:rsidRPr="00332A41">
        <w:rPr>
          <w:sz w:val="22"/>
          <w:szCs w:val="22"/>
        </w:rPr>
        <w:t>NTN inter</w:t>
      </w:r>
      <w:r>
        <w:rPr>
          <w:sz w:val="22"/>
          <w:szCs w:val="22"/>
        </w:rPr>
        <w:t xml:space="preserve"> </w:t>
      </w:r>
      <w:r w:rsidRPr="00332A41">
        <w:rPr>
          <w:sz w:val="22"/>
          <w:szCs w:val="22"/>
        </w:rPr>
        <w:t>satellite measurement configuration degrees of freedom can amplify collision</w:t>
      </w:r>
      <w:r>
        <w:rPr>
          <w:sz w:val="22"/>
          <w:szCs w:val="22"/>
        </w:rPr>
        <w:t xml:space="preserve"> </w:t>
      </w:r>
      <w:r w:rsidRPr="00332A41">
        <w:rPr>
          <w:sz w:val="22"/>
          <w:szCs w:val="22"/>
        </w:rPr>
        <w:t>handling complexity, especially when parallel measurement capability is optional and therefore not uniformly available.</w:t>
      </w:r>
    </w:p>
    <w:p w14:paraId="410FF2B2" w14:textId="5C33D013" w:rsidR="005824DC" w:rsidRDefault="00332A41" w:rsidP="000160DA">
      <w:pPr>
        <w:jc w:val="both"/>
        <w:rPr>
          <w:sz w:val="22"/>
          <w:szCs w:val="22"/>
        </w:rPr>
      </w:pPr>
      <w:r w:rsidRPr="00332A41">
        <w:rPr>
          <w:sz w:val="22"/>
          <w:szCs w:val="22"/>
        </w:rPr>
        <w:t>When switching occurs without PCI change, “cell identity stability” can hide meaningful changes in radio conditions and timing, so requirements that key off PCI/cell identity alone may not capture needed refresh actions, and scheduling restriction impact can become hard to bound.</w:t>
      </w:r>
    </w:p>
    <w:p w14:paraId="5FD738BC" w14:textId="6BCDF422" w:rsidR="00332A41" w:rsidRDefault="00332A41" w:rsidP="000160DA">
      <w:pPr>
        <w:jc w:val="both"/>
        <w:rPr>
          <w:b/>
          <w:bCs/>
          <w:sz w:val="22"/>
          <w:szCs w:val="22"/>
        </w:rPr>
      </w:pPr>
      <w:r w:rsidRPr="00332A41">
        <w:rPr>
          <w:b/>
          <w:bCs/>
          <w:sz w:val="22"/>
          <w:szCs w:val="22"/>
        </w:rPr>
        <w:t>Observation 4:</w:t>
      </w:r>
      <w:r>
        <w:rPr>
          <w:b/>
          <w:bCs/>
          <w:sz w:val="22"/>
          <w:szCs w:val="22"/>
        </w:rPr>
        <w:t xml:space="preserve"> S</w:t>
      </w:r>
      <w:r w:rsidRPr="00332A41">
        <w:rPr>
          <w:b/>
          <w:bCs/>
          <w:sz w:val="22"/>
          <w:szCs w:val="22"/>
        </w:rPr>
        <w:t>atellite switching without PCI change introduces operational ambiguity because stable identity does not guarantee stable radio conditions, and outcomes can depend strongly on NTN timing</w:t>
      </w:r>
      <w:r>
        <w:rPr>
          <w:b/>
          <w:bCs/>
          <w:sz w:val="22"/>
          <w:szCs w:val="22"/>
        </w:rPr>
        <w:t xml:space="preserve"> and </w:t>
      </w:r>
      <w:r w:rsidRPr="00332A41">
        <w:rPr>
          <w:b/>
          <w:bCs/>
          <w:sz w:val="22"/>
          <w:szCs w:val="22"/>
        </w:rPr>
        <w:t>propagation uncertainties.</w:t>
      </w:r>
    </w:p>
    <w:p w14:paraId="725514EE" w14:textId="77777777" w:rsidR="00D2015F" w:rsidRDefault="00D2015F" w:rsidP="000160DA">
      <w:pPr>
        <w:jc w:val="both"/>
        <w:rPr>
          <w:sz w:val="22"/>
          <w:szCs w:val="22"/>
        </w:rPr>
      </w:pPr>
    </w:p>
    <w:p w14:paraId="07E4DB31" w14:textId="63EAA682" w:rsidR="00A03927" w:rsidRDefault="00A03927" w:rsidP="00C433E4">
      <w:pPr>
        <w:pStyle w:val="Heading3"/>
      </w:pPr>
      <w:r w:rsidRPr="00C433E4">
        <w:t>NTN inter orbit mobility</w:t>
      </w:r>
    </w:p>
    <w:p w14:paraId="627882B0" w14:textId="51BECC3A" w:rsidR="00C433E4" w:rsidRDefault="000D0A12" w:rsidP="000D0A12">
      <w:pPr>
        <w:jc w:val="both"/>
        <w:rPr>
          <w:sz w:val="22"/>
          <w:szCs w:val="22"/>
        </w:rPr>
      </w:pPr>
      <w:r w:rsidRPr="003C1446">
        <w:rPr>
          <w:sz w:val="22"/>
          <w:szCs w:val="22"/>
        </w:rPr>
        <w:t xml:space="preserve">Inter orbit mobility in NTN can be defined as the UE mobility and service continuity across satellites belonging to different orbit classes such as mobility between GEO and LEO, MEO and LEO and </w:t>
      </w:r>
      <w:r w:rsidR="003C1446" w:rsidRPr="003C1446">
        <w:rPr>
          <w:sz w:val="22"/>
          <w:szCs w:val="22"/>
        </w:rPr>
        <w:t xml:space="preserve">GEO and MEO. Unlike mobility within the same orbit, </w:t>
      </w:r>
      <w:r w:rsidR="003C1446">
        <w:rPr>
          <w:sz w:val="22"/>
          <w:szCs w:val="22"/>
        </w:rPr>
        <w:t>i</w:t>
      </w:r>
      <w:r w:rsidR="003C1446" w:rsidRPr="003C1446">
        <w:rPr>
          <w:sz w:val="22"/>
          <w:szCs w:val="22"/>
        </w:rPr>
        <w:t>nter</w:t>
      </w:r>
      <w:r w:rsidR="003C1446">
        <w:rPr>
          <w:sz w:val="22"/>
          <w:szCs w:val="22"/>
        </w:rPr>
        <w:t xml:space="preserve"> </w:t>
      </w:r>
      <w:r w:rsidR="003C1446" w:rsidRPr="003C1446">
        <w:rPr>
          <w:sz w:val="22"/>
          <w:szCs w:val="22"/>
        </w:rPr>
        <w:t>orbit transitions can combine large propagation</w:t>
      </w:r>
      <w:r w:rsidR="003C1446">
        <w:rPr>
          <w:sz w:val="22"/>
          <w:szCs w:val="22"/>
        </w:rPr>
        <w:t xml:space="preserve"> </w:t>
      </w:r>
      <w:r w:rsidR="003C1446" w:rsidRPr="003C1446">
        <w:rPr>
          <w:sz w:val="22"/>
          <w:szCs w:val="22"/>
        </w:rPr>
        <w:t xml:space="preserve">delay differences with different </w:t>
      </w:r>
      <w:r w:rsidR="003C1446">
        <w:rPr>
          <w:sz w:val="22"/>
          <w:szCs w:val="22"/>
        </w:rPr>
        <w:t>d</w:t>
      </w:r>
      <w:r w:rsidR="003C1446" w:rsidRPr="003C1446">
        <w:rPr>
          <w:sz w:val="22"/>
          <w:szCs w:val="22"/>
        </w:rPr>
        <w:t xml:space="preserve">oppler </w:t>
      </w:r>
      <w:r w:rsidR="003C1446">
        <w:rPr>
          <w:sz w:val="22"/>
          <w:szCs w:val="22"/>
        </w:rPr>
        <w:t>shifts</w:t>
      </w:r>
      <w:r w:rsidR="003C1446" w:rsidRPr="003C1446">
        <w:rPr>
          <w:sz w:val="22"/>
          <w:szCs w:val="22"/>
        </w:rPr>
        <w:t xml:space="preserve"> and </w:t>
      </w:r>
      <w:r w:rsidR="003C1446">
        <w:rPr>
          <w:sz w:val="22"/>
          <w:szCs w:val="22"/>
        </w:rPr>
        <w:t>propagation</w:t>
      </w:r>
      <w:r w:rsidR="003C1446" w:rsidRPr="003C1446">
        <w:rPr>
          <w:sz w:val="22"/>
          <w:szCs w:val="22"/>
        </w:rPr>
        <w:t xml:space="preserve"> characteristics, which directly impacts RRM timing assumptions, measurement feasibility, and the ability to keep traffic continuity during the transition.</w:t>
      </w:r>
      <w:r w:rsidR="003C1446">
        <w:rPr>
          <w:sz w:val="22"/>
          <w:szCs w:val="22"/>
        </w:rPr>
        <w:t xml:space="preserve"> </w:t>
      </w:r>
    </w:p>
    <w:p w14:paraId="6A861A4F" w14:textId="493927C7" w:rsidR="00FD25A0" w:rsidRPr="00FD25A0" w:rsidRDefault="00FD25A0" w:rsidP="000D0A12">
      <w:pPr>
        <w:jc w:val="both"/>
        <w:rPr>
          <w:b/>
          <w:bCs/>
          <w:sz w:val="22"/>
          <w:szCs w:val="22"/>
        </w:rPr>
      </w:pPr>
      <w:r w:rsidRPr="00FD25A0">
        <w:rPr>
          <w:b/>
          <w:bCs/>
          <w:sz w:val="22"/>
          <w:szCs w:val="22"/>
        </w:rPr>
        <w:t>Proposal 4:</w:t>
      </w:r>
      <w:r>
        <w:rPr>
          <w:b/>
          <w:bCs/>
          <w:sz w:val="22"/>
          <w:szCs w:val="22"/>
        </w:rPr>
        <w:t xml:space="preserve"> RAN4 to define specific mobility scenarios for inter orbit mobility study.</w:t>
      </w:r>
    </w:p>
    <w:p w14:paraId="4AD9D3F9" w14:textId="1CA2BB9D" w:rsidR="00861730" w:rsidRDefault="00861730" w:rsidP="000D0A12">
      <w:pPr>
        <w:jc w:val="both"/>
        <w:rPr>
          <w:sz w:val="22"/>
          <w:szCs w:val="22"/>
        </w:rPr>
      </w:pPr>
      <w:r w:rsidRPr="00861730">
        <w:rPr>
          <w:sz w:val="22"/>
          <w:szCs w:val="22"/>
        </w:rPr>
        <w:t>From an RAN4 perspective, inter</w:t>
      </w:r>
      <w:r>
        <w:rPr>
          <w:sz w:val="22"/>
          <w:szCs w:val="22"/>
        </w:rPr>
        <w:t xml:space="preserve"> </w:t>
      </w:r>
      <w:r w:rsidRPr="00861730">
        <w:rPr>
          <w:sz w:val="22"/>
          <w:szCs w:val="22"/>
        </w:rPr>
        <w:t xml:space="preserve">orbit mobility </w:t>
      </w:r>
      <w:r>
        <w:rPr>
          <w:sz w:val="22"/>
          <w:szCs w:val="22"/>
        </w:rPr>
        <w:t>involves</w:t>
      </w:r>
      <w:r w:rsidRPr="00861730">
        <w:rPr>
          <w:sz w:val="22"/>
          <w:szCs w:val="22"/>
        </w:rPr>
        <w:t xml:space="preserve"> more demanding time/frequency tracking and acquisition needs around the orbit transition</w:t>
      </w:r>
      <w:r>
        <w:rPr>
          <w:sz w:val="22"/>
          <w:szCs w:val="22"/>
        </w:rPr>
        <w:t xml:space="preserve"> and </w:t>
      </w:r>
      <w:r w:rsidRPr="00861730">
        <w:rPr>
          <w:sz w:val="22"/>
          <w:szCs w:val="22"/>
        </w:rPr>
        <w:t>potentially overlapping measurement opportunities across multiple satellite layers that can increase collision risk</w:t>
      </w:r>
      <w:r>
        <w:rPr>
          <w:sz w:val="22"/>
          <w:szCs w:val="22"/>
        </w:rPr>
        <w:t>.</w:t>
      </w:r>
      <w:r w:rsidRPr="00861730">
        <w:rPr>
          <w:sz w:val="22"/>
          <w:szCs w:val="22"/>
        </w:rPr>
        <w:t xml:space="preserve"> </w:t>
      </w:r>
      <w:r>
        <w:rPr>
          <w:sz w:val="22"/>
          <w:szCs w:val="22"/>
        </w:rPr>
        <w:t xml:space="preserve">Furthermore, </w:t>
      </w:r>
      <w:r w:rsidRPr="00861730">
        <w:rPr>
          <w:sz w:val="22"/>
          <w:szCs w:val="22"/>
        </w:rPr>
        <w:t xml:space="preserve">tighter coupling between measurement activities and scheduler restrictions, especially when the UE cannot measure multiple satellites in parallel. 5G RRM requirements already model handover interruption with explicit processing and acquisition components </w:t>
      </w:r>
      <w:r>
        <w:rPr>
          <w:sz w:val="22"/>
          <w:szCs w:val="22"/>
        </w:rPr>
        <w:t>like</w:t>
      </w:r>
      <w:r w:rsidRPr="00861730">
        <w:rPr>
          <w:sz w:val="22"/>
          <w:szCs w:val="22"/>
        </w:rPr>
        <w:t xml:space="preserve"> cell search/RS acquisition and DL synchronization components via an interruption</w:t>
      </w:r>
      <w:r>
        <w:rPr>
          <w:sz w:val="22"/>
          <w:szCs w:val="22"/>
        </w:rPr>
        <w:t xml:space="preserve"> </w:t>
      </w:r>
      <w:r w:rsidRPr="00861730">
        <w:rPr>
          <w:sz w:val="22"/>
          <w:szCs w:val="22"/>
        </w:rPr>
        <w:t xml:space="preserve">time model, and those same components will be </w:t>
      </w:r>
      <w:r>
        <w:rPr>
          <w:sz w:val="22"/>
          <w:szCs w:val="22"/>
        </w:rPr>
        <w:t>applicable</w:t>
      </w:r>
      <w:r w:rsidRPr="00861730">
        <w:rPr>
          <w:sz w:val="22"/>
          <w:szCs w:val="22"/>
        </w:rPr>
        <w:t xml:space="preserve"> differently in inter</w:t>
      </w:r>
      <w:r>
        <w:rPr>
          <w:sz w:val="22"/>
          <w:szCs w:val="22"/>
        </w:rPr>
        <w:t xml:space="preserve"> </w:t>
      </w:r>
      <w:r w:rsidRPr="00861730">
        <w:rPr>
          <w:sz w:val="22"/>
          <w:szCs w:val="22"/>
        </w:rPr>
        <w:t>orbit cases.</w:t>
      </w:r>
    </w:p>
    <w:p w14:paraId="5D3432A1" w14:textId="787FEA30" w:rsidR="006308CC" w:rsidRDefault="006308CC" w:rsidP="000160DA">
      <w:pPr>
        <w:jc w:val="both"/>
        <w:rPr>
          <w:sz w:val="22"/>
          <w:szCs w:val="22"/>
        </w:rPr>
      </w:pPr>
      <w:r w:rsidRPr="006308CC">
        <w:rPr>
          <w:sz w:val="22"/>
          <w:szCs w:val="22"/>
        </w:rPr>
        <w:t xml:space="preserve">Existing RRM definitions and test methods </w:t>
      </w:r>
      <w:r>
        <w:rPr>
          <w:sz w:val="22"/>
          <w:szCs w:val="22"/>
        </w:rPr>
        <w:t>may</w:t>
      </w:r>
      <w:r w:rsidRPr="006308CC">
        <w:rPr>
          <w:sz w:val="22"/>
          <w:szCs w:val="22"/>
        </w:rPr>
        <w:t xml:space="preserve"> </w:t>
      </w:r>
      <w:r w:rsidR="00B21816">
        <w:rPr>
          <w:sz w:val="22"/>
          <w:szCs w:val="22"/>
        </w:rPr>
        <w:t>understate</w:t>
      </w:r>
      <w:r w:rsidRPr="006308CC">
        <w:rPr>
          <w:sz w:val="22"/>
          <w:szCs w:val="22"/>
        </w:rPr>
        <w:t xml:space="preserve"> service continuity when mobility performance is evaluated mainly via a single interruption</w:t>
      </w:r>
      <w:r>
        <w:rPr>
          <w:sz w:val="22"/>
          <w:szCs w:val="22"/>
        </w:rPr>
        <w:t xml:space="preserve"> </w:t>
      </w:r>
      <w:r w:rsidRPr="006308CC">
        <w:rPr>
          <w:sz w:val="22"/>
          <w:szCs w:val="22"/>
        </w:rPr>
        <w:t>time KPI, especially if scheduling restrictions and measurement</w:t>
      </w:r>
      <w:r>
        <w:rPr>
          <w:sz w:val="22"/>
          <w:szCs w:val="22"/>
        </w:rPr>
        <w:t xml:space="preserve"> </w:t>
      </w:r>
      <w:r w:rsidRPr="006308CC">
        <w:rPr>
          <w:sz w:val="22"/>
          <w:szCs w:val="22"/>
        </w:rPr>
        <w:t>driven</w:t>
      </w:r>
      <w:r>
        <w:rPr>
          <w:sz w:val="22"/>
          <w:szCs w:val="22"/>
        </w:rPr>
        <w:t xml:space="preserve"> </w:t>
      </w:r>
      <w:r w:rsidRPr="006308CC">
        <w:rPr>
          <w:sz w:val="22"/>
          <w:szCs w:val="22"/>
        </w:rPr>
        <w:t xml:space="preserve">silent periods are excluded or not explicitly budgeted. This </w:t>
      </w:r>
      <w:r>
        <w:rPr>
          <w:sz w:val="22"/>
          <w:szCs w:val="22"/>
        </w:rPr>
        <w:t>increases the risk of</w:t>
      </w:r>
      <w:r w:rsidRPr="006308CC">
        <w:rPr>
          <w:sz w:val="22"/>
          <w:szCs w:val="22"/>
        </w:rPr>
        <w:t xml:space="preserve"> inter</w:t>
      </w:r>
      <w:r>
        <w:rPr>
          <w:sz w:val="22"/>
          <w:szCs w:val="22"/>
        </w:rPr>
        <w:t xml:space="preserve"> </w:t>
      </w:r>
      <w:r w:rsidRPr="006308CC">
        <w:rPr>
          <w:sz w:val="22"/>
          <w:szCs w:val="22"/>
        </w:rPr>
        <w:t>orbit mobility where uncertainty margins and multilayer monitoring can expand restriction windows and measurement overhead.</w:t>
      </w:r>
    </w:p>
    <w:p w14:paraId="6349842D" w14:textId="35D8547B" w:rsidR="006308CC" w:rsidRDefault="006308CC" w:rsidP="000160DA">
      <w:pPr>
        <w:jc w:val="both"/>
        <w:rPr>
          <w:b/>
          <w:bCs/>
          <w:sz w:val="22"/>
          <w:szCs w:val="22"/>
        </w:rPr>
      </w:pPr>
      <w:r w:rsidRPr="006308CC">
        <w:rPr>
          <w:b/>
          <w:bCs/>
          <w:sz w:val="22"/>
          <w:szCs w:val="22"/>
        </w:rPr>
        <w:lastRenderedPageBreak/>
        <w:t>Observation 5:</w:t>
      </w:r>
      <w:r>
        <w:rPr>
          <w:b/>
          <w:bCs/>
          <w:sz w:val="22"/>
          <w:szCs w:val="22"/>
        </w:rPr>
        <w:t xml:space="preserve"> </w:t>
      </w:r>
      <w:r w:rsidRPr="006308CC">
        <w:rPr>
          <w:b/>
          <w:bCs/>
          <w:sz w:val="22"/>
          <w:szCs w:val="22"/>
        </w:rPr>
        <w:t>Inter</w:t>
      </w:r>
      <w:r>
        <w:rPr>
          <w:b/>
          <w:bCs/>
          <w:sz w:val="22"/>
          <w:szCs w:val="22"/>
        </w:rPr>
        <w:t xml:space="preserve"> </w:t>
      </w:r>
      <w:r w:rsidRPr="006308CC">
        <w:rPr>
          <w:b/>
          <w:bCs/>
          <w:sz w:val="22"/>
          <w:szCs w:val="22"/>
        </w:rPr>
        <w:t xml:space="preserve">orbit mobility can cause significant service unavailability </w:t>
      </w:r>
      <w:r w:rsidR="00B7628A">
        <w:rPr>
          <w:b/>
          <w:bCs/>
          <w:sz w:val="22"/>
          <w:szCs w:val="22"/>
        </w:rPr>
        <w:t>due to</w:t>
      </w:r>
      <w:r w:rsidRPr="006308CC">
        <w:rPr>
          <w:b/>
          <w:bCs/>
          <w:sz w:val="22"/>
          <w:szCs w:val="22"/>
        </w:rPr>
        <w:t xml:space="preserve"> measurement overhead and scheduling restrictions beyond a single interruption time value</w:t>
      </w:r>
      <w:r>
        <w:rPr>
          <w:b/>
          <w:bCs/>
          <w:sz w:val="22"/>
          <w:szCs w:val="22"/>
        </w:rPr>
        <w:t>.</w:t>
      </w:r>
    </w:p>
    <w:p w14:paraId="29CD7BD2" w14:textId="7B6486E2" w:rsidR="006308CC" w:rsidRDefault="00B7628A" w:rsidP="000160DA">
      <w:pPr>
        <w:jc w:val="both"/>
        <w:rPr>
          <w:sz w:val="22"/>
          <w:szCs w:val="22"/>
        </w:rPr>
      </w:pPr>
      <w:r w:rsidRPr="00B7628A">
        <w:rPr>
          <w:sz w:val="22"/>
          <w:szCs w:val="22"/>
        </w:rPr>
        <w:t>Baseline mobility</w:t>
      </w:r>
      <w:r>
        <w:rPr>
          <w:sz w:val="22"/>
          <w:szCs w:val="22"/>
        </w:rPr>
        <w:t xml:space="preserve"> </w:t>
      </w:r>
      <w:r w:rsidRPr="00B7628A">
        <w:rPr>
          <w:sz w:val="22"/>
          <w:szCs w:val="22"/>
        </w:rPr>
        <w:t xml:space="preserve">related requirement assumptions </w:t>
      </w:r>
      <w:r>
        <w:rPr>
          <w:sz w:val="22"/>
          <w:szCs w:val="22"/>
        </w:rPr>
        <w:t>like</w:t>
      </w:r>
      <w:r w:rsidRPr="00B7628A">
        <w:rPr>
          <w:sz w:val="22"/>
          <w:szCs w:val="22"/>
        </w:rPr>
        <w:t xml:space="preserve"> inter</w:t>
      </w:r>
      <w:r>
        <w:rPr>
          <w:sz w:val="22"/>
          <w:szCs w:val="22"/>
        </w:rPr>
        <w:t xml:space="preserve"> </w:t>
      </w:r>
      <w:r w:rsidRPr="00B7628A">
        <w:rPr>
          <w:sz w:val="22"/>
          <w:szCs w:val="22"/>
        </w:rPr>
        <w:t xml:space="preserve">cell timing relationships used in test setups and interruption components </w:t>
      </w:r>
      <w:r w:rsidR="00AC2C6D">
        <w:rPr>
          <w:sz w:val="22"/>
          <w:szCs w:val="22"/>
        </w:rPr>
        <w:t xml:space="preserve">like </w:t>
      </w:r>
      <w:r w:rsidRPr="00B7628A">
        <w:rPr>
          <w:sz w:val="22"/>
          <w:szCs w:val="22"/>
        </w:rPr>
        <w:t>cell search</w:t>
      </w:r>
      <w:r w:rsidR="00AC2C6D">
        <w:rPr>
          <w:sz w:val="22"/>
          <w:szCs w:val="22"/>
        </w:rPr>
        <w:t xml:space="preserve"> and</w:t>
      </w:r>
      <w:r w:rsidRPr="00B7628A">
        <w:rPr>
          <w:sz w:val="22"/>
          <w:szCs w:val="22"/>
        </w:rPr>
        <w:t xml:space="preserve"> DL sync were developed </w:t>
      </w:r>
      <w:r w:rsidR="00AC2C6D">
        <w:rPr>
          <w:sz w:val="22"/>
          <w:szCs w:val="22"/>
        </w:rPr>
        <w:t>for</w:t>
      </w:r>
      <w:r w:rsidRPr="00B7628A">
        <w:rPr>
          <w:sz w:val="22"/>
          <w:szCs w:val="22"/>
        </w:rPr>
        <w:t xml:space="preserve"> </w:t>
      </w:r>
      <w:r w:rsidR="00AC2C6D">
        <w:rPr>
          <w:sz w:val="22"/>
          <w:szCs w:val="22"/>
        </w:rPr>
        <w:t>terrestrial network</w:t>
      </w:r>
      <w:r w:rsidRPr="00B7628A">
        <w:rPr>
          <w:sz w:val="22"/>
          <w:szCs w:val="22"/>
        </w:rPr>
        <w:t xml:space="preserve"> or single</w:t>
      </w:r>
      <w:r w:rsidR="00AC2C6D">
        <w:rPr>
          <w:sz w:val="22"/>
          <w:szCs w:val="22"/>
        </w:rPr>
        <w:t xml:space="preserve"> </w:t>
      </w:r>
      <w:r w:rsidRPr="00B7628A">
        <w:rPr>
          <w:sz w:val="22"/>
          <w:szCs w:val="22"/>
        </w:rPr>
        <w:t>orbit</w:t>
      </w:r>
      <w:r w:rsidR="00AC2C6D">
        <w:rPr>
          <w:sz w:val="22"/>
          <w:szCs w:val="22"/>
        </w:rPr>
        <w:t xml:space="preserve"> </w:t>
      </w:r>
      <w:r w:rsidRPr="00B7628A">
        <w:rPr>
          <w:sz w:val="22"/>
          <w:szCs w:val="22"/>
        </w:rPr>
        <w:t>like dynamics in mind</w:t>
      </w:r>
      <w:r w:rsidR="00AC2C6D">
        <w:rPr>
          <w:sz w:val="22"/>
          <w:szCs w:val="22"/>
        </w:rPr>
        <w:t>.</w:t>
      </w:r>
      <w:r w:rsidRPr="00B7628A">
        <w:rPr>
          <w:sz w:val="22"/>
          <w:szCs w:val="22"/>
        </w:rPr>
        <w:t xml:space="preserve"> </w:t>
      </w:r>
      <w:r w:rsidR="00AC2C6D">
        <w:rPr>
          <w:sz w:val="22"/>
          <w:szCs w:val="22"/>
        </w:rPr>
        <w:t>I</w:t>
      </w:r>
      <w:r w:rsidRPr="00B7628A">
        <w:rPr>
          <w:sz w:val="22"/>
          <w:szCs w:val="22"/>
        </w:rPr>
        <w:t>nter</w:t>
      </w:r>
      <w:r w:rsidR="00AC2C6D">
        <w:rPr>
          <w:sz w:val="22"/>
          <w:szCs w:val="22"/>
        </w:rPr>
        <w:t xml:space="preserve"> </w:t>
      </w:r>
      <w:r w:rsidRPr="00B7628A">
        <w:rPr>
          <w:sz w:val="22"/>
          <w:szCs w:val="22"/>
        </w:rPr>
        <w:t>orbit cases may exceed those assumptions due to larger propagation</w:t>
      </w:r>
      <w:r w:rsidR="00AC2C6D">
        <w:rPr>
          <w:sz w:val="22"/>
          <w:szCs w:val="22"/>
        </w:rPr>
        <w:t xml:space="preserve"> </w:t>
      </w:r>
      <w:r w:rsidRPr="00B7628A">
        <w:rPr>
          <w:sz w:val="22"/>
          <w:szCs w:val="22"/>
        </w:rPr>
        <w:t xml:space="preserve">delay differences and different </w:t>
      </w:r>
      <w:r w:rsidR="00AC2C6D">
        <w:rPr>
          <w:sz w:val="22"/>
          <w:szCs w:val="22"/>
        </w:rPr>
        <w:t>d</w:t>
      </w:r>
      <w:r w:rsidRPr="00B7628A">
        <w:rPr>
          <w:sz w:val="22"/>
          <w:szCs w:val="22"/>
        </w:rPr>
        <w:t xml:space="preserve">oppler dynamics, making direct reuse of fixed assumptions </w:t>
      </w:r>
      <w:r w:rsidR="00AC2C6D">
        <w:rPr>
          <w:sz w:val="22"/>
          <w:szCs w:val="22"/>
        </w:rPr>
        <w:t>not reliable</w:t>
      </w:r>
      <w:r w:rsidRPr="00B7628A">
        <w:rPr>
          <w:sz w:val="22"/>
          <w:szCs w:val="22"/>
        </w:rPr>
        <w:t>.</w:t>
      </w:r>
      <w:r w:rsidR="004D4703">
        <w:rPr>
          <w:sz w:val="22"/>
          <w:szCs w:val="22"/>
        </w:rPr>
        <w:t xml:space="preserve"> Additionally, m</w:t>
      </w:r>
      <w:r w:rsidR="004D4703" w:rsidRPr="004D4703">
        <w:rPr>
          <w:sz w:val="22"/>
          <w:szCs w:val="22"/>
        </w:rPr>
        <w:t>ulti</w:t>
      </w:r>
      <w:r w:rsidR="004D4703">
        <w:rPr>
          <w:sz w:val="22"/>
          <w:szCs w:val="22"/>
        </w:rPr>
        <w:t xml:space="preserve"> </w:t>
      </w:r>
      <w:r w:rsidR="004D4703" w:rsidRPr="004D4703">
        <w:rPr>
          <w:sz w:val="22"/>
          <w:szCs w:val="22"/>
        </w:rPr>
        <w:t>orbit services imply overlapping measurement opportunities across orbit layers and potentially frequent orbit</w:t>
      </w:r>
      <w:r w:rsidR="004D4703">
        <w:rPr>
          <w:sz w:val="22"/>
          <w:szCs w:val="22"/>
        </w:rPr>
        <w:t xml:space="preserve"> </w:t>
      </w:r>
      <w:r w:rsidR="004D4703" w:rsidRPr="004D4703">
        <w:rPr>
          <w:sz w:val="22"/>
          <w:szCs w:val="22"/>
        </w:rPr>
        <w:t>layer monitoring</w:t>
      </w:r>
      <w:r w:rsidR="004D4703">
        <w:rPr>
          <w:sz w:val="22"/>
          <w:szCs w:val="22"/>
        </w:rPr>
        <w:t>.</w:t>
      </w:r>
      <w:r w:rsidR="004D4703" w:rsidRPr="004D4703">
        <w:rPr>
          <w:sz w:val="22"/>
          <w:szCs w:val="22"/>
        </w:rPr>
        <w:t xml:space="preserve"> NR NTN already shows that multiple MG/SMTC degrees of freedom and optional parallel</w:t>
      </w:r>
      <w:r w:rsidR="004D4703">
        <w:rPr>
          <w:sz w:val="22"/>
          <w:szCs w:val="22"/>
        </w:rPr>
        <w:t xml:space="preserve"> </w:t>
      </w:r>
      <w:r w:rsidR="004D4703" w:rsidRPr="004D4703">
        <w:rPr>
          <w:sz w:val="22"/>
          <w:szCs w:val="22"/>
        </w:rPr>
        <w:t>measurement capabilities can drive collision</w:t>
      </w:r>
      <w:r w:rsidR="004D4703">
        <w:rPr>
          <w:sz w:val="22"/>
          <w:szCs w:val="22"/>
        </w:rPr>
        <w:t xml:space="preserve"> </w:t>
      </w:r>
      <w:r w:rsidR="004D4703" w:rsidRPr="004D4703">
        <w:rPr>
          <w:sz w:val="22"/>
          <w:szCs w:val="22"/>
        </w:rPr>
        <w:t>handling complexity and make requirements</w:t>
      </w:r>
      <w:r w:rsidR="004D4703">
        <w:rPr>
          <w:sz w:val="22"/>
          <w:szCs w:val="22"/>
        </w:rPr>
        <w:t xml:space="preserve"> complex.</w:t>
      </w:r>
    </w:p>
    <w:p w14:paraId="5CAE5456" w14:textId="30498D4B" w:rsidR="00AC2C6D" w:rsidRDefault="004D4703" w:rsidP="000160DA">
      <w:pPr>
        <w:jc w:val="both"/>
        <w:rPr>
          <w:b/>
          <w:bCs/>
          <w:sz w:val="22"/>
          <w:szCs w:val="22"/>
        </w:rPr>
      </w:pPr>
      <w:r w:rsidRPr="004D4703">
        <w:rPr>
          <w:b/>
          <w:bCs/>
          <w:sz w:val="22"/>
          <w:szCs w:val="22"/>
        </w:rPr>
        <w:t xml:space="preserve">Observation 6: </w:t>
      </w:r>
      <w:r>
        <w:rPr>
          <w:b/>
          <w:bCs/>
          <w:sz w:val="22"/>
          <w:szCs w:val="22"/>
        </w:rPr>
        <w:t>Inter orbit mobility may require additional requirements for cell search and DL sync</w:t>
      </w:r>
    </w:p>
    <w:p w14:paraId="015070B6" w14:textId="5E45828C" w:rsidR="004D4703" w:rsidRDefault="004D4703" w:rsidP="000160DA">
      <w:pPr>
        <w:jc w:val="both"/>
        <w:rPr>
          <w:b/>
          <w:bCs/>
          <w:sz w:val="22"/>
          <w:szCs w:val="22"/>
        </w:rPr>
      </w:pPr>
      <w:r>
        <w:rPr>
          <w:b/>
          <w:bCs/>
          <w:sz w:val="22"/>
          <w:szCs w:val="22"/>
        </w:rPr>
        <w:t xml:space="preserve">Observation 7: </w:t>
      </w:r>
      <w:r w:rsidRPr="004D4703">
        <w:rPr>
          <w:b/>
          <w:bCs/>
          <w:sz w:val="22"/>
          <w:szCs w:val="22"/>
        </w:rPr>
        <w:t>Inter</w:t>
      </w:r>
      <w:r>
        <w:rPr>
          <w:b/>
          <w:bCs/>
          <w:sz w:val="22"/>
          <w:szCs w:val="22"/>
        </w:rPr>
        <w:t xml:space="preserve"> </w:t>
      </w:r>
      <w:r w:rsidRPr="004D4703">
        <w:rPr>
          <w:b/>
          <w:bCs/>
          <w:sz w:val="22"/>
          <w:szCs w:val="22"/>
        </w:rPr>
        <w:t>orbit mobility is likely to amplify measurement</w:t>
      </w:r>
      <w:r>
        <w:rPr>
          <w:b/>
          <w:bCs/>
          <w:sz w:val="22"/>
          <w:szCs w:val="22"/>
        </w:rPr>
        <w:t xml:space="preserve"> </w:t>
      </w:r>
      <w:r w:rsidRPr="004D4703">
        <w:rPr>
          <w:b/>
          <w:bCs/>
          <w:sz w:val="22"/>
          <w:szCs w:val="22"/>
        </w:rPr>
        <w:t>collision and capability</w:t>
      </w:r>
      <w:r>
        <w:rPr>
          <w:b/>
          <w:bCs/>
          <w:sz w:val="22"/>
          <w:szCs w:val="22"/>
        </w:rPr>
        <w:t xml:space="preserve"> </w:t>
      </w:r>
      <w:r w:rsidRPr="004D4703">
        <w:rPr>
          <w:b/>
          <w:bCs/>
          <w:sz w:val="22"/>
          <w:szCs w:val="22"/>
        </w:rPr>
        <w:t>dependency issues</w:t>
      </w:r>
      <w:r>
        <w:rPr>
          <w:b/>
          <w:bCs/>
          <w:sz w:val="22"/>
          <w:szCs w:val="22"/>
        </w:rPr>
        <w:t>.</w:t>
      </w:r>
    </w:p>
    <w:p w14:paraId="6F10794D" w14:textId="51F85FCE" w:rsidR="004D4703" w:rsidRDefault="00E0605F" w:rsidP="000160DA">
      <w:pPr>
        <w:jc w:val="both"/>
        <w:rPr>
          <w:b/>
          <w:bCs/>
          <w:sz w:val="22"/>
          <w:szCs w:val="22"/>
        </w:rPr>
      </w:pPr>
      <w:r>
        <w:rPr>
          <w:b/>
          <w:bCs/>
          <w:sz w:val="22"/>
          <w:szCs w:val="22"/>
        </w:rPr>
        <w:t>Proposal 5: RAN4 to study the feasibility of inter orbit mobility</w:t>
      </w:r>
      <w:r w:rsidR="00726146">
        <w:rPr>
          <w:b/>
          <w:bCs/>
          <w:sz w:val="22"/>
          <w:szCs w:val="22"/>
        </w:rPr>
        <w:t xml:space="preserve"> and identify the key delay/interruption contributors.</w:t>
      </w:r>
    </w:p>
    <w:p w14:paraId="159A69B3" w14:textId="55F77E3F" w:rsidR="00726146" w:rsidRDefault="00726146" w:rsidP="000160DA">
      <w:pPr>
        <w:jc w:val="both"/>
        <w:rPr>
          <w:b/>
          <w:bCs/>
          <w:sz w:val="22"/>
          <w:szCs w:val="22"/>
        </w:rPr>
      </w:pPr>
      <w:r>
        <w:rPr>
          <w:b/>
          <w:bCs/>
          <w:sz w:val="22"/>
          <w:szCs w:val="22"/>
        </w:rPr>
        <w:t xml:space="preserve">Proposal 6: RAN4 to study the inter orbit measurement constraints </w:t>
      </w:r>
      <w:r w:rsidRPr="00726146">
        <w:rPr>
          <w:b/>
          <w:bCs/>
          <w:sz w:val="22"/>
          <w:szCs w:val="22"/>
        </w:rPr>
        <w:t>and derive the associated RRM impacts on measurement configuration,</w:t>
      </w:r>
      <w:r>
        <w:rPr>
          <w:b/>
          <w:bCs/>
          <w:sz w:val="22"/>
          <w:szCs w:val="22"/>
        </w:rPr>
        <w:t xml:space="preserve"> </w:t>
      </w:r>
      <w:r w:rsidRPr="00726146">
        <w:rPr>
          <w:b/>
          <w:bCs/>
          <w:sz w:val="22"/>
          <w:szCs w:val="22"/>
        </w:rPr>
        <w:t>and test methodology needed to support inter</w:t>
      </w:r>
      <w:r>
        <w:rPr>
          <w:b/>
          <w:bCs/>
          <w:sz w:val="22"/>
          <w:szCs w:val="22"/>
        </w:rPr>
        <w:t xml:space="preserve"> </w:t>
      </w:r>
      <w:r w:rsidRPr="00726146">
        <w:rPr>
          <w:b/>
          <w:bCs/>
          <w:sz w:val="22"/>
          <w:szCs w:val="22"/>
        </w:rPr>
        <w:t>orbit mobility.</w:t>
      </w:r>
    </w:p>
    <w:p w14:paraId="17AACC4A" w14:textId="77777777" w:rsidR="00F94DB9" w:rsidRPr="004D4703" w:rsidRDefault="00F94DB9" w:rsidP="000160DA">
      <w:pPr>
        <w:jc w:val="both"/>
        <w:rPr>
          <w:b/>
          <w:bCs/>
          <w:sz w:val="22"/>
          <w:szCs w:val="22"/>
        </w:rPr>
      </w:pPr>
    </w:p>
    <w:p w14:paraId="000CFF86" w14:textId="77777777" w:rsidR="00603E08" w:rsidRDefault="00603E08" w:rsidP="00603E08">
      <w:pPr>
        <w:pStyle w:val="Heading1"/>
        <w:spacing w:before="120" w:after="120"/>
      </w:pPr>
      <w:r>
        <w:rPr>
          <w:rFonts w:hint="eastAsia"/>
        </w:rPr>
        <w:t>Conclusion and Proposals</w:t>
      </w:r>
    </w:p>
    <w:p w14:paraId="39B4E724" w14:textId="419640C7" w:rsidR="00E16532" w:rsidRDefault="005F70BD">
      <w:r>
        <w:t>Based on the discussion above, we conclude this con</w:t>
      </w:r>
      <w:r w:rsidR="00E16532">
        <w:t xml:space="preserve">tribution with the following observations and </w:t>
      </w:r>
      <w:r w:rsidR="003D2144">
        <w:t>proposals:</w:t>
      </w:r>
    </w:p>
    <w:p w14:paraId="606A19EF" w14:textId="77777777" w:rsidR="00D2015F" w:rsidRPr="005D621C" w:rsidRDefault="00D2015F" w:rsidP="00D2015F">
      <w:pPr>
        <w:spacing w:after="120"/>
        <w:jc w:val="both"/>
        <w:rPr>
          <w:b/>
          <w:sz w:val="22"/>
          <w:szCs w:val="22"/>
        </w:rPr>
      </w:pPr>
      <w:r w:rsidRPr="005D621C">
        <w:rPr>
          <w:b/>
          <w:sz w:val="22"/>
          <w:szCs w:val="22"/>
        </w:rPr>
        <w:t>Observation 1: Mobility KPI framework that only tracks interruption time may underrepresent service continuity and throughput impacts.</w:t>
      </w:r>
    </w:p>
    <w:p w14:paraId="66790FE8" w14:textId="77777777" w:rsidR="00D2015F" w:rsidRDefault="00D2015F" w:rsidP="00D2015F">
      <w:pPr>
        <w:jc w:val="both"/>
        <w:rPr>
          <w:b/>
          <w:bCs/>
          <w:sz w:val="22"/>
          <w:szCs w:val="22"/>
        </w:rPr>
      </w:pPr>
      <w:r w:rsidRPr="008E27EB">
        <w:rPr>
          <w:b/>
          <w:bCs/>
          <w:sz w:val="22"/>
          <w:szCs w:val="22"/>
        </w:rPr>
        <w:t>Observation 2:</w:t>
      </w:r>
      <w:r>
        <w:rPr>
          <w:b/>
          <w:bCs/>
          <w:sz w:val="22"/>
          <w:szCs w:val="22"/>
        </w:rPr>
        <w:t xml:space="preserve"> Larger SSB periodicity can significantly increase the measurement latency.</w:t>
      </w:r>
    </w:p>
    <w:p w14:paraId="5E5F3A68" w14:textId="1E1C044D" w:rsidR="006F49DA" w:rsidRPr="00D2015F" w:rsidRDefault="00D2015F" w:rsidP="00D2015F">
      <w:pPr>
        <w:jc w:val="both"/>
        <w:rPr>
          <w:b/>
          <w:bCs/>
          <w:sz w:val="24"/>
          <w:szCs w:val="24"/>
        </w:rPr>
      </w:pPr>
      <w:r w:rsidRPr="00442D61">
        <w:rPr>
          <w:b/>
          <w:bCs/>
          <w:sz w:val="22"/>
          <w:szCs w:val="22"/>
        </w:rPr>
        <w:t>Observations 3:</w:t>
      </w:r>
      <w:r>
        <w:rPr>
          <w:b/>
          <w:bCs/>
          <w:sz w:val="22"/>
          <w:szCs w:val="22"/>
        </w:rPr>
        <w:t xml:space="preserve"> Adding NTN on top of TN centric framework has led to requirements that are hard to apply widely, especially when they rely on optional features or implicit assumptions on UE architecture. </w:t>
      </w:r>
      <w:r w:rsidRPr="00442D61">
        <w:rPr>
          <w:b/>
          <w:bCs/>
          <w:sz w:val="24"/>
          <w:szCs w:val="24"/>
        </w:rPr>
        <w:t xml:space="preserve"> </w:t>
      </w:r>
    </w:p>
    <w:p w14:paraId="4A3CEB4F" w14:textId="77777777" w:rsidR="00D2015F" w:rsidRDefault="00D2015F" w:rsidP="00D2015F">
      <w:pPr>
        <w:jc w:val="both"/>
        <w:rPr>
          <w:b/>
          <w:bCs/>
          <w:sz w:val="22"/>
          <w:szCs w:val="22"/>
        </w:rPr>
      </w:pPr>
      <w:r w:rsidRPr="00332A41">
        <w:rPr>
          <w:b/>
          <w:bCs/>
          <w:sz w:val="22"/>
          <w:szCs w:val="22"/>
        </w:rPr>
        <w:t>Observation 4:</w:t>
      </w:r>
      <w:r>
        <w:rPr>
          <w:b/>
          <w:bCs/>
          <w:sz w:val="22"/>
          <w:szCs w:val="22"/>
        </w:rPr>
        <w:t xml:space="preserve"> S</w:t>
      </w:r>
      <w:r w:rsidRPr="00332A41">
        <w:rPr>
          <w:b/>
          <w:bCs/>
          <w:sz w:val="22"/>
          <w:szCs w:val="22"/>
        </w:rPr>
        <w:t>atellite switching without PCI change introduces operational ambiguity because stable identity does not guarantee stable radio conditions, and outcomes can depend strongly on NTN timing</w:t>
      </w:r>
      <w:r>
        <w:rPr>
          <w:b/>
          <w:bCs/>
          <w:sz w:val="22"/>
          <w:szCs w:val="22"/>
        </w:rPr>
        <w:t xml:space="preserve"> and </w:t>
      </w:r>
      <w:r w:rsidRPr="00332A41">
        <w:rPr>
          <w:b/>
          <w:bCs/>
          <w:sz w:val="22"/>
          <w:szCs w:val="22"/>
        </w:rPr>
        <w:t>propagation uncertainties.</w:t>
      </w:r>
    </w:p>
    <w:p w14:paraId="0D287FFF" w14:textId="77777777" w:rsidR="00F94DB9" w:rsidRDefault="00F94DB9" w:rsidP="00F94DB9">
      <w:pPr>
        <w:jc w:val="both"/>
        <w:rPr>
          <w:b/>
          <w:bCs/>
          <w:sz w:val="22"/>
          <w:szCs w:val="22"/>
        </w:rPr>
      </w:pPr>
      <w:r w:rsidRPr="006308CC">
        <w:rPr>
          <w:b/>
          <w:bCs/>
          <w:sz w:val="22"/>
          <w:szCs w:val="22"/>
        </w:rPr>
        <w:t>Observation 5:</w:t>
      </w:r>
      <w:r>
        <w:rPr>
          <w:b/>
          <w:bCs/>
          <w:sz w:val="22"/>
          <w:szCs w:val="22"/>
        </w:rPr>
        <w:t xml:space="preserve"> </w:t>
      </w:r>
      <w:r w:rsidRPr="006308CC">
        <w:rPr>
          <w:b/>
          <w:bCs/>
          <w:sz w:val="22"/>
          <w:szCs w:val="22"/>
        </w:rPr>
        <w:t>Inter</w:t>
      </w:r>
      <w:r>
        <w:rPr>
          <w:b/>
          <w:bCs/>
          <w:sz w:val="22"/>
          <w:szCs w:val="22"/>
        </w:rPr>
        <w:t xml:space="preserve"> </w:t>
      </w:r>
      <w:r w:rsidRPr="006308CC">
        <w:rPr>
          <w:b/>
          <w:bCs/>
          <w:sz w:val="22"/>
          <w:szCs w:val="22"/>
        </w:rPr>
        <w:t xml:space="preserve">orbit mobility can cause significant service unavailability </w:t>
      </w:r>
      <w:r>
        <w:rPr>
          <w:b/>
          <w:bCs/>
          <w:sz w:val="22"/>
          <w:szCs w:val="22"/>
        </w:rPr>
        <w:t>due to</w:t>
      </w:r>
      <w:r w:rsidRPr="006308CC">
        <w:rPr>
          <w:b/>
          <w:bCs/>
          <w:sz w:val="22"/>
          <w:szCs w:val="22"/>
        </w:rPr>
        <w:t xml:space="preserve"> measurement overhead and scheduling restrictions beyond a single interruption time value</w:t>
      </w:r>
      <w:r>
        <w:rPr>
          <w:b/>
          <w:bCs/>
          <w:sz w:val="22"/>
          <w:szCs w:val="22"/>
        </w:rPr>
        <w:t>.</w:t>
      </w:r>
    </w:p>
    <w:p w14:paraId="49911FE8" w14:textId="77777777" w:rsidR="00F94DB9" w:rsidRDefault="00F94DB9" w:rsidP="00F94DB9">
      <w:pPr>
        <w:jc w:val="both"/>
        <w:rPr>
          <w:b/>
          <w:bCs/>
          <w:sz w:val="22"/>
          <w:szCs w:val="22"/>
        </w:rPr>
      </w:pPr>
      <w:r w:rsidRPr="004D4703">
        <w:rPr>
          <w:b/>
          <w:bCs/>
          <w:sz w:val="22"/>
          <w:szCs w:val="22"/>
        </w:rPr>
        <w:t xml:space="preserve">Observation 6: </w:t>
      </w:r>
      <w:r>
        <w:rPr>
          <w:b/>
          <w:bCs/>
          <w:sz w:val="22"/>
          <w:szCs w:val="22"/>
        </w:rPr>
        <w:t>Inter orbit mobility may require additional requirements for cell search and DL sync</w:t>
      </w:r>
    </w:p>
    <w:p w14:paraId="5DA48FAB" w14:textId="1677DEFC" w:rsidR="00F94DB9" w:rsidRDefault="00F94DB9" w:rsidP="00D2015F">
      <w:pPr>
        <w:jc w:val="both"/>
        <w:rPr>
          <w:b/>
          <w:bCs/>
          <w:sz w:val="22"/>
          <w:szCs w:val="22"/>
        </w:rPr>
      </w:pPr>
      <w:r>
        <w:rPr>
          <w:b/>
          <w:bCs/>
          <w:sz w:val="22"/>
          <w:szCs w:val="22"/>
        </w:rPr>
        <w:t xml:space="preserve">Observation 7: </w:t>
      </w:r>
      <w:r w:rsidRPr="004D4703">
        <w:rPr>
          <w:b/>
          <w:bCs/>
          <w:sz w:val="22"/>
          <w:szCs w:val="22"/>
        </w:rPr>
        <w:t>Inter</w:t>
      </w:r>
      <w:r>
        <w:rPr>
          <w:b/>
          <w:bCs/>
          <w:sz w:val="22"/>
          <w:szCs w:val="22"/>
        </w:rPr>
        <w:t xml:space="preserve"> </w:t>
      </w:r>
      <w:r w:rsidRPr="004D4703">
        <w:rPr>
          <w:b/>
          <w:bCs/>
          <w:sz w:val="22"/>
          <w:szCs w:val="22"/>
        </w:rPr>
        <w:t>orbit mobility is likely to amplify measurement</w:t>
      </w:r>
      <w:r>
        <w:rPr>
          <w:b/>
          <w:bCs/>
          <w:sz w:val="22"/>
          <w:szCs w:val="22"/>
        </w:rPr>
        <w:t xml:space="preserve"> </w:t>
      </w:r>
      <w:r w:rsidRPr="004D4703">
        <w:rPr>
          <w:b/>
          <w:bCs/>
          <w:sz w:val="22"/>
          <w:szCs w:val="22"/>
        </w:rPr>
        <w:t>collision and capability</w:t>
      </w:r>
      <w:r>
        <w:rPr>
          <w:b/>
          <w:bCs/>
          <w:sz w:val="22"/>
          <w:szCs w:val="22"/>
        </w:rPr>
        <w:t xml:space="preserve"> </w:t>
      </w:r>
      <w:r w:rsidRPr="004D4703">
        <w:rPr>
          <w:b/>
          <w:bCs/>
          <w:sz w:val="22"/>
          <w:szCs w:val="22"/>
        </w:rPr>
        <w:t>dependency issues</w:t>
      </w:r>
      <w:r>
        <w:rPr>
          <w:b/>
          <w:bCs/>
          <w:sz w:val="22"/>
          <w:szCs w:val="22"/>
        </w:rPr>
        <w:t>.</w:t>
      </w:r>
    </w:p>
    <w:p w14:paraId="5E0996A0" w14:textId="77777777" w:rsidR="00D2015F" w:rsidRPr="005D621C" w:rsidRDefault="00D2015F" w:rsidP="00D2015F">
      <w:pPr>
        <w:spacing w:after="120"/>
        <w:jc w:val="both"/>
        <w:rPr>
          <w:b/>
          <w:sz w:val="22"/>
          <w:szCs w:val="22"/>
        </w:rPr>
      </w:pPr>
      <w:r w:rsidRPr="005D621C">
        <w:rPr>
          <w:b/>
          <w:sz w:val="22"/>
          <w:szCs w:val="22"/>
        </w:rPr>
        <w:t>Proposal 1: RAN4 to include service continuity as metric for mobility related study.</w:t>
      </w:r>
    </w:p>
    <w:p w14:paraId="1B1F9CDF" w14:textId="77777777" w:rsidR="003B3968" w:rsidRDefault="003B3968" w:rsidP="003B3968">
      <w:pPr>
        <w:jc w:val="both"/>
        <w:rPr>
          <w:b/>
          <w:bCs/>
          <w:sz w:val="22"/>
          <w:szCs w:val="22"/>
        </w:rPr>
      </w:pPr>
      <w:r>
        <w:rPr>
          <w:b/>
          <w:bCs/>
          <w:sz w:val="22"/>
          <w:szCs w:val="22"/>
        </w:rPr>
        <w:t xml:space="preserve">Proposal 2: </w:t>
      </w:r>
      <w:r w:rsidRPr="001C7C6A">
        <w:rPr>
          <w:b/>
          <w:bCs/>
          <w:sz w:val="22"/>
          <w:szCs w:val="22"/>
        </w:rPr>
        <w:t>RAN4 should study the effect of longer SSB periodicity in measurement delay requirements especially for high mobility scenarios</w:t>
      </w:r>
      <w:r>
        <w:rPr>
          <w:b/>
          <w:bCs/>
          <w:sz w:val="22"/>
          <w:szCs w:val="22"/>
        </w:rPr>
        <w:t>.</w:t>
      </w:r>
    </w:p>
    <w:p w14:paraId="5ED9B742" w14:textId="14B00BC0" w:rsidR="00D2015F" w:rsidRPr="008E27EB" w:rsidRDefault="00D2015F" w:rsidP="00D2015F">
      <w:pPr>
        <w:jc w:val="both"/>
        <w:rPr>
          <w:b/>
          <w:bCs/>
          <w:sz w:val="22"/>
          <w:szCs w:val="22"/>
        </w:rPr>
      </w:pPr>
      <w:r w:rsidRPr="00BE23F4">
        <w:rPr>
          <w:b/>
          <w:bCs/>
          <w:sz w:val="22"/>
          <w:szCs w:val="22"/>
        </w:rPr>
        <w:t>Proposal 3:</w:t>
      </w:r>
      <w:r>
        <w:rPr>
          <w:b/>
          <w:bCs/>
          <w:sz w:val="22"/>
          <w:szCs w:val="22"/>
        </w:rPr>
        <w:t xml:space="preserve"> </w:t>
      </w:r>
      <w:r w:rsidRPr="00BE23F4">
        <w:rPr>
          <w:b/>
          <w:bCs/>
          <w:sz w:val="22"/>
          <w:szCs w:val="22"/>
        </w:rPr>
        <w:t>RAN4 should study a single parameterized TN</w:t>
      </w:r>
      <w:r>
        <w:rPr>
          <w:b/>
          <w:bCs/>
          <w:sz w:val="22"/>
          <w:szCs w:val="22"/>
        </w:rPr>
        <w:t>-</w:t>
      </w:r>
      <w:r w:rsidRPr="00BE23F4">
        <w:rPr>
          <w:b/>
          <w:bCs/>
          <w:sz w:val="22"/>
          <w:szCs w:val="22"/>
        </w:rPr>
        <w:t>NTN requirement formulation</w:t>
      </w:r>
      <w:r>
        <w:rPr>
          <w:b/>
          <w:bCs/>
          <w:sz w:val="22"/>
          <w:szCs w:val="22"/>
        </w:rPr>
        <w:t>.</w:t>
      </w:r>
    </w:p>
    <w:p w14:paraId="3A72FBA0" w14:textId="77777777" w:rsidR="00F94DB9" w:rsidRDefault="00F94DB9" w:rsidP="00F94DB9">
      <w:pPr>
        <w:jc w:val="both"/>
        <w:rPr>
          <w:b/>
          <w:bCs/>
          <w:sz w:val="22"/>
          <w:szCs w:val="22"/>
        </w:rPr>
      </w:pPr>
      <w:r w:rsidRPr="00FD25A0">
        <w:rPr>
          <w:b/>
          <w:bCs/>
          <w:sz w:val="22"/>
          <w:szCs w:val="22"/>
        </w:rPr>
        <w:t>Proposal 4:</w:t>
      </w:r>
      <w:r>
        <w:rPr>
          <w:b/>
          <w:bCs/>
          <w:sz w:val="22"/>
          <w:szCs w:val="22"/>
        </w:rPr>
        <w:t xml:space="preserve"> RAN4 to define specific mobility scenarios for inter orbit mobility study.</w:t>
      </w:r>
    </w:p>
    <w:p w14:paraId="12A7CD4C" w14:textId="77777777" w:rsidR="00F94DB9" w:rsidRDefault="00F94DB9" w:rsidP="00F94DB9">
      <w:pPr>
        <w:jc w:val="both"/>
        <w:rPr>
          <w:b/>
          <w:bCs/>
          <w:sz w:val="22"/>
          <w:szCs w:val="22"/>
        </w:rPr>
      </w:pPr>
      <w:r>
        <w:rPr>
          <w:b/>
          <w:bCs/>
          <w:sz w:val="22"/>
          <w:szCs w:val="22"/>
        </w:rPr>
        <w:t>Proposal 5: RAN4 to study the feasibility of inter orbit mobility and identify the key delay/interruption contributors.</w:t>
      </w:r>
    </w:p>
    <w:p w14:paraId="5CB4798C" w14:textId="043BEC2C" w:rsidR="00F94DB9" w:rsidRPr="00FD25A0" w:rsidRDefault="00F94DB9" w:rsidP="00F94DB9">
      <w:pPr>
        <w:jc w:val="both"/>
        <w:rPr>
          <w:b/>
          <w:bCs/>
          <w:sz w:val="22"/>
          <w:szCs w:val="22"/>
        </w:rPr>
      </w:pPr>
      <w:r>
        <w:rPr>
          <w:b/>
          <w:bCs/>
          <w:sz w:val="22"/>
          <w:szCs w:val="22"/>
        </w:rPr>
        <w:lastRenderedPageBreak/>
        <w:t xml:space="preserve">Proposal 6: RAN4 to study the inter orbit measurement constraints </w:t>
      </w:r>
      <w:r w:rsidRPr="00726146">
        <w:rPr>
          <w:b/>
          <w:bCs/>
          <w:sz w:val="22"/>
          <w:szCs w:val="22"/>
        </w:rPr>
        <w:t>and derive the associated RRM impacts on measurement configuration,</w:t>
      </w:r>
      <w:r>
        <w:rPr>
          <w:b/>
          <w:bCs/>
          <w:sz w:val="22"/>
          <w:szCs w:val="22"/>
        </w:rPr>
        <w:t xml:space="preserve"> </w:t>
      </w:r>
      <w:r w:rsidRPr="00726146">
        <w:rPr>
          <w:b/>
          <w:bCs/>
          <w:sz w:val="22"/>
          <w:szCs w:val="22"/>
        </w:rPr>
        <w:t>and test methodology needed to support inter</w:t>
      </w:r>
      <w:r>
        <w:rPr>
          <w:b/>
          <w:bCs/>
          <w:sz w:val="22"/>
          <w:szCs w:val="22"/>
        </w:rPr>
        <w:t xml:space="preserve"> </w:t>
      </w:r>
      <w:r w:rsidRPr="00726146">
        <w:rPr>
          <w:b/>
          <w:bCs/>
          <w:sz w:val="22"/>
          <w:szCs w:val="22"/>
        </w:rPr>
        <w:t>orbit mobility.</w:t>
      </w:r>
    </w:p>
    <w:p w14:paraId="5AE832A8" w14:textId="77777777" w:rsidR="006F49DA" w:rsidRDefault="006F49DA"/>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53C3EDF9" w14:textId="272785DA" w:rsidR="00981371" w:rsidRPr="004E507A" w:rsidRDefault="003B7572" w:rsidP="00280E93">
              <w:pPr>
                <w:pStyle w:val="Bibliography"/>
                <w:numPr>
                  <w:ilvl w:val="0"/>
                  <w:numId w:val="9"/>
                </w:numPr>
                <w:rPr>
                  <w:noProof/>
                  <w:sz w:val="24"/>
                  <w:szCs w:val="24"/>
                </w:rPr>
              </w:pPr>
              <w:r w:rsidRPr="004E507A">
                <w:fldChar w:fldCharType="begin"/>
              </w:r>
              <w:r w:rsidRPr="004E507A">
                <w:instrText xml:space="preserve"> BIBLIOGRAPHY </w:instrText>
              </w:r>
              <w:r w:rsidRPr="004E507A">
                <w:fldChar w:fldCharType="separate"/>
              </w:r>
              <w:bookmarkStart w:id="0" w:name="_Ref210381449"/>
              <w:r w:rsidR="00981371" w:rsidRPr="004E507A">
                <w:rPr>
                  <w:noProof/>
                </w:rPr>
                <w:t>RP-2</w:t>
              </w:r>
              <w:r w:rsidR="00280B20" w:rsidRPr="004E507A">
                <w:rPr>
                  <w:noProof/>
                </w:rPr>
                <w:t>53875</w:t>
              </w:r>
              <w:r w:rsidR="00981371" w:rsidRPr="004E507A">
                <w:rPr>
                  <w:noProof/>
                </w:rPr>
                <w:t xml:space="preserve">. </w:t>
              </w:r>
              <w:r w:rsidR="00EF5A67" w:rsidRPr="004E507A">
                <w:rPr>
                  <w:rFonts w:hint="eastAsia"/>
                  <w:noProof/>
                </w:rPr>
                <w:t>Revised</w:t>
              </w:r>
              <w:r w:rsidR="00EF5A67" w:rsidRPr="004E507A">
                <w:rPr>
                  <w:noProof/>
                </w:rPr>
                <w:t xml:space="preserve"> SID: Study on 6G Radio</w:t>
              </w:r>
              <w:r w:rsidR="00981371" w:rsidRPr="004E507A">
                <w:rPr>
                  <w:i/>
                  <w:iCs/>
                  <w:noProof/>
                </w:rPr>
                <w:t>.</w:t>
              </w:r>
              <w:r w:rsidR="00981371" w:rsidRPr="004E507A">
                <w:rPr>
                  <w:noProof/>
                </w:rPr>
                <w:t xml:space="preserve"> </w:t>
              </w:r>
              <w:r w:rsidR="004E507A" w:rsidRPr="004E507A">
                <w:rPr>
                  <w:rFonts w:hint="eastAsia"/>
                  <w:noProof/>
                  <w:lang w:val="en-US"/>
                </w:rPr>
                <w:t>NTT DOCOMO, CMCC, AT&amp;T, Vodafone</w:t>
              </w:r>
            </w:p>
            <w:bookmarkEnd w:id="0"/>
            <w:p w14:paraId="7851C4DA" w14:textId="6CDAC3D0" w:rsidR="001B32D9" w:rsidRPr="00CB6112" w:rsidRDefault="003B7572" w:rsidP="00280E93">
              <w:pPr>
                <w:pStyle w:val="ListParagraph"/>
                <w:numPr>
                  <w:ilvl w:val="0"/>
                  <w:numId w:val="9"/>
                </w:numPr>
                <w:rPr>
                  <w:sz w:val="20"/>
                  <w:szCs w:val="20"/>
                  <w:lang w:val="en-GB" w:eastAsia="en-US"/>
                </w:rPr>
              </w:pPr>
              <w:r w:rsidRPr="004E507A">
                <w:rPr>
                  <w:sz w:val="20"/>
                  <w:szCs w:val="20"/>
                  <w:lang w:val="en-GB" w:eastAsia="en-US"/>
                </w:rPr>
                <w:fldChar w:fldCharType="end"/>
              </w:r>
              <w:bookmarkStart w:id="1" w:name="_Ref210735525"/>
              <w:r w:rsidR="00300FD3" w:rsidRPr="00300FD3">
                <w:rPr>
                  <w:sz w:val="20"/>
                  <w:szCs w:val="20"/>
                  <w:lang w:val="en-GB" w:eastAsia="en-US"/>
                </w:rPr>
                <w:t>R2-25</w:t>
              </w:r>
              <w:bookmarkEnd w:id="1"/>
              <w:r w:rsidR="00875535">
                <w:rPr>
                  <w:sz w:val="20"/>
                  <w:szCs w:val="20"/>
                  <w:lang w:val="en-GB" w:eastAsia="en-US"/>
                </w:rPr>
                <w:t xml:space="preserve">22442. </w:t>
              </w:r>
              <w:r w:rsidR="00437715" w:rsidRPr="00437715">
                <w:rPr>
                  <w:sz w:val="20"/>
                  <w:szCs w:val="20"/>
                  <w:lang w:val="en-US" w:eastAsia="en-US"/>
                </w:rPr>
                <w:t>WF on [117][105]6G RRM</w:t>
              </w:r>
              <w:r w:rsidR="00437715">
                <w:rPr>
                  <w:sz w:val="20"/>
                  <w:szCs w:val="20"/>
                  <w:lang w:val="en-US" w:eastAsia="en-US"/>
                </w:rPr>
                <w:t xml:space="preserve">, </w:t>
              </w:r>
              <w:r w:rsidR="001B32D9">
                <w:rPr>
                  <w:sz w:val="20"/>
                  <w:szCs w:val="20"/>
                  <w:lang w:val="en-US" w:eastAsia="en-US"/>
                </w:rPr>
                <w:t>Apple</w:t>
              </w:r>
            </w:p>
            <w:p w14:paraId="67BF801C" w14:textId="078ED390" w:rsidR="0052234F" w:rsidRDefault="00537A4F" w:rsidP="00AE0CF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B7C55" w14:textId="77777777" w:rsidR="00537A4F" w:rsidRDefault="00537A4F">
      <w:pPr>
        <w:spacing w:after="0"/>
      </w:pPr>
      <w:r>
        <w:separator/>
      </w:r>
    </w:p>
  </w:endnote>
  <w:endnote w:type="continuationSeparator" w:id="0">
    <w:p w14:paraId="170B7FD0" w14:textId="77777777" w:rsidR="00537A4F" w:rsidRDefault="00537A4F">
      <w:pPr>
        <w:spacing w:after="0"/>
      </w:pPr>
      <w:r>
        <w:continuationSeparator/>
      </w:r>
    </w:p>
  </w:endnote>
  <w:endnote w:type="continuationNotice" w:id="1">
    <w:p w14:paraId="533E072A" w14:textId="77777777" w:rsidR="00537A4F" w:rsidRDefault="00537A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C1A3A" w14:textId="77777777" w:rsidR="00537A4F" w:rsidRDefault="00537A4F">
      <w:pPr>
        <w:spacing w:after="0"/>
      </w:pPr>
      <w:r>
        <w:separator/>
      </w:r>
    </w:p>
  </w:footnote>
  <w:footnote w:type="continuationSeparator" w:id="0">
    <w:p w14:paraId="691EA041" w14:textId="77777777" w:rsidR="00537A4F" w:rsidRDefault="00537A4F">
      <w:pPr>
        <w:spacing w:after="0"/>
      </w:pPr>
      <w:r>
        <w:continuationSeparator/>
      </w:r>
    </w:p>
  </w:footnote>
  <w:footnote w:type="continuationNotice" w:id="1">
    <w:p w14:paraId="57DC2A45" w14:textId="77777777" w:rsidR="00537A4F" w:rsidRDefault="00537A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751471"/>
    <w:multiLevelType w:val="hybridMultilevel"/>
    <w:tmpl w:val="3CA85CEC"/>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06327004">
    <w:abstractNumId w:val="4"/>
  </w:num>
  <w:num w:numId="2" w16cid:durableId="135219078">
    <w:abstractNumId w:val="5"/>
  </w:num>
  <w:num w:numId="3" w16cid:durableId="1130828869">
    <w:abstractNumId w:val="0"/>
  </w:num>
  <w:num w:numId="4" w16cid:durableId="586613930">
    <w:abstractNumId w:val="11"/>
  </w:num>
  <w:num w:numId="5" w16cid:durableId="1616861889">
    <w:abstractNumId w:val="6"/>
  </w:num>
  <w:num w:numId="6" w16cid:durableId="1532567702">
    <w:abstractNumId w:val="2"/>
  </w:num>
  <w:num w:numId="7" w16cid:durableId="381178554">
    <w:abstractNumId w:val="8"/>
  </w:num>
  <w:num w:numId="8" w16cid:durableId="515073769">
    <w:abstractNumId w:val="7"/>
  </w:num>
  <w:num w:numId="9" w16cid:durableId="1498957752">
    <w:abstractNumId w:val="1"/>
  </w:num>
  <w:num w:numId="10" w16cid:durableId="1783569884">
    <w:abstractNumId w:val="10"/>
  </w:num>
  <w:num w:numId="11" w16cid:durableId="1835757643">
    <w:abstractNumId w:val="9"/>
  </w:num>
  <w:num w:numId="12" w16cid:durableId="494366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0DA"/>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1D"/>
    <w:rsid w:val="00045457"/>
    <w:rsid w:val="0004572E"/>
    <w:rsid w:val="000457D3"/>
    <w:rsid w:val="000459C7"/>
    <w:rsid w:val="00046630"/>
    <w:rsid w:val="00046C80"/>
    <w:rsid w:val="00046E75"/>
    <w:rsid w:val="000472AA"/>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33"/>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97B"/>
    <w:rsid w:val="000C7BA7"/>
    <w:rsid w:val="000C7C3F"/>
    <w:rsid w:val="000D0275"/>
    <w:rsid w:val="000D0289"/>
    <w:rsid w:val="000D0A12"/>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134"/>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8F4"/>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19F0"/>
    <w:rsid w:val="00131D1C"/>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299"/>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509"/>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2D9"/>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C7C6A"/>
    <w:rsid w:val="001D020D"/>
    <w:rsid w:val="001D09EA"/>
    <w:rsid w:val="001D16DD"/>
    <w:rsid w:val="001D1FCC"/>
    <w:rsid w:val="001D27E0"/>
    <w:rsid w:val="001D2AAE"/>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1C0"/>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CD1"/>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38D"/>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3A6"/>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937"/>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989"/>
    <w:rsid w:val="00273CA8"/>
    <w:rsid w:val="00273E4F"/>
    <w:rsid w:val="002744D8"/>
    <w:rsid w:val="0027455B"/>
    <w:rsid w:val="00275074"/>
    <w:rsid w:val="00275373"/>
    <w:rsid w:val="0027637C"/>
    <w:rsid w:val="002763E9"/>
    <w:rsid w:val="00276736"/>
    <w:rsid w:val="00276F4E"/>
    <w:rsid w:val="0027752E"/>
    <w:rsid w:val="0027773D"/>
    <w:rsid w:val="002778BD"/>
    <w:rsid w:val="00277C84"/>
    <w:rsid w:val="0028021D"/>
    <w:rsid w:val="00280B20"/>
    <w:rsid w:val="00280C3B"/>
    <w:rsid w:val="00280E93"/>
    <w:rsid w:val="0028117C"/>
    <w:rsid w:val="002815FA"/>
    <w:rsid w:val="0028239F"/>
    <w:rsid w:val="002824C2"/>
    <w:rsid w:val="0028270C"/>
    <w:rsid w:val="00282830"/>
    <w:rsid w:val="002838CA"/>
    <w:rsid w:val="00284005"/>
    <w:rsid w:val="002844C5"/>
    <w:rsid w:val="0028451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60D5"/>
    <w:rsid w:val="00296756"/>
    <w:rsid w:val="00296ED9"/>
    <w:rsid w:val="002977E2"/>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332"/>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82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7D1"/>
    <w:rsid w:val="002F0A4C"/>
    <w:rsid w:val="002F1038"/>
    <w:rsid w:val="002F1E24"/>
    <w:rsid w:val="002F22FF"/>
    <w:rsid w:val="002F27F1"/>
    <w:rsid w:val="002F2D8F"/>
    <w:rsid w:val="002F30AC"/>
    <w:rsid w:val="002F343E"/>
    <w:rsid w:val="002F3BB5"/>
    <w:rsid w:val="002F3D5A"/>
    <w:rsid w:val="002F461F"/>
    <w:rsid w:val="002F4CC0"/>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442"/>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A41"/>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24C"/>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A31"/>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15C"/>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05B"/>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968"/>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446"/>
    <w:rsid w:val="003C1A18"/>
    <w:rsid w:val="003C1ED4"/>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259"/>
    <w:rsid w:val="003D232D"/>
    <w:rsid w:val="003D276B"/>
    <w:rsid w:val="003D286B"/>
    <w:rsid w:val="003D2938"/>
    <w:rsid w:val="003D3C86"/>
    <w:rsid w:val="003D3F46"/>
    <w:rsid w:val="003D3FBA"/>
    <w:rsid w:val="003D402B"/>
    <w:rsid w:val="003D40A0"/>
    <w:rsid w:val="003D40F2"/>
    <w:rsid w:val="003D41E5"/>
    <w:rsid w:val="003D42B4"/>
    <w:rsid w:val="003D54B0"/>
    <w:rsid w:val="003D5771"/>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4910"/>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28"/>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715"/>
    <w:rsid w:val="00437C28"/>
    <w:rsid w:val="00437F50"/>
    <w:rsid w:val="0044045D"/>
    <w:rsid w:val="00440AB9"/>
    <w:rsid w:val="00440F44"/>
    <w:rsid w:val="00440FED"/>
    <w:rsid w:val="004410CE"/>
    <w:rsid w:val="00441B92"/>
    <w:rsid w:val="00441ED3"/>
    <w:rsid w:val="00442D61"/>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795B"/>
    <w:rsid w:val="00467A76"/>
    <w:rsid w:val="004703F2"/>
    <w:rsid w:val="004707E7"/>
    <w:rsid w:val="004708C0"/>
    <w:rsid w:val="004709B2"/>
    <w:rsid w:val="00470A9B"/>
    <w:rsid w:val="00470EA1"/>
    <w:rsid w:val="0047115F"/>
    <w:rsid w:val="004713A3"/>
    <w:rsid w:val="0047153A"/>
    <w:rsid w:val="004715CB"/>
    <w:rsid w:val="00471863"/>
    <w:rsid w:val="00471A96"/>
    <w:rsid w:val="00472517"/>
    <w:rsid w:val="004728CD"/>
    <w:rsid w:val="00472BBB"/>
    <w:rsid w:val="00472E7E"/>
    <w:rsid w:val="00473065"/>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76AAC"/>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2E6"/>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703"/>
    <w:rsid w:val="004D4FBD"/>
    <w:rsid w:val="004D4FC0"/>
    <w:rsid w:val="004D5607"/>
    <w:rsid w:val="004D5CE7"/>
    <w:rsid w:val="004D6381"/>
    <w:rsid w:val="004D69D2"/>
    <w:rsid w:val="004D6BB3"/>
    <w:rsid w:val="004D76DD"/>
    <w:rsid w:val="004D793E"/>
    <w:rsid w:val="004D7CA5"/>
    <w:rsid w:val="004D7DA8"/>
    <w:rsid w:val="004E045C"/>
    <w:rsid w:val="004E10CD"/>
    <w:rsid w:val="004E1347"/>
    <w:rsid w:val="004E1401"/>
    <w:rsid w:val="004E200D"/>
    <w:rsid w:val="004E2210"/>
    <w:rsid w:val="004E255E"/>
    <w:rsid w:val="004E259F"/>
    <w:rsid w:val="004E2892"/>
    <w:rsid w:val="004E362B"/>
    <w:rsid w:val="004E3681"/>
    <w:rsid w:val="004E39CB"/>
    <w:rsid w:val="004E3D74"/>
    <w:rsid w:val="004E507A"/>
    <w:rsid w:val="004E563D"/>
    <w:rsid w:val="004E5699"/>
    <w:rsid w:val="004E5DE1"/>
    <w:rsid w:val="004E5F93"/>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2919"/>
    <w:rsid w:val="005130D3"/>
    <w:rsid w:val="00513839"/>
    <w:rsid w:val="0051387E"/>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A4F"/>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1470"/>
    <w:rsid w:val="00581B62"/>
    <w:rsid w:val="00581BAD"/>
    <w:rsid w:val="00581D62"/>
    <w:rsid w:val="00582087"/>
    <w:rsid w:val="005820F7"/>
    <w:rsid w:val="005822BB"/>
    <w:rsid w:val="005824DC"/>
    <w:rsid w:val="00582710"/>
    <w:rsid w:val="005827D8"/>
    <w:rsid w:val="00582F21"/>
    <w:rsid w:val="005830BF"/>
    <w:rsid w:val="005831DD"/>
    <w:rsid w:val="00584320"/>
    <w:rsid w:val="0058442D"/>
    <w:rsid w:val="005847C1"/>
    <w:rsid w:val="00584CD4"/>
    <w:rsid w:val="00584E4E"/>
    <w:rsid w:val="00585484"/>
    <w:rsid w:val="00585941"/>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756"/>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702"/>
    <w:rsid w:val="005A704D"/>
    <w:rsid w:val="005A761C"/>
    <w:rsid w:val="005B01C6"/>
    <w:rsid w:val="005B0CA0"/>
    <w:rsid w:val="005B1757"/>
    <w:rsid w:val="005B1EAB"/>
    <w:rsid w:val="005B3C6D"/>
    <w:rsid w:val="005B4045"/>
    <w:rsid w:val="005B4AA1"/>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18C"/>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621C"/>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A8F"/>
    <w:rsid w:val="00603C1C"/>
    <w:rsid w:val="00603E08"/>
    <w:rsid w:val="00604151"/>
    <w:rsid w:val="00604367"/>
    <w:rsid w:val="006044BE"/>
    <w:rsid w:val="0060475F"/>
    <w:rsid w:val="006047DF"/>
    <w:rsid w:val="00604804"/>
    <w:rsid w:val="00604A87"/>
    <w:rsid w:val="00604DE1"/>
    <w:rsid w:val="006052FC"/>
    <w:rsid w:val="00605362"/>
    <w:rsid w:val="006057DF"/>
    <w:rsid w:val="006060C2"/>
    <w:rsid w:val="00606A26"/>
    <w:rsid w:val="00606E9D"/>
    <w:rsid w:val="006078F4"/>
    <w:rsid w:val="00607D81"/>
    <w:rsid w:val="00607ECE"/>
    <w:rsid w:val="0061064A"/>
    <w:rsid w:val="00610747"/>
    <w:rsid w:val="00610960"/>
    <w:rsid w:val="00610AD8"/>
    <w:rsid w:val="00610E03"/>
    <w:rsid w:val="0061176E"/>
    <w:rsid w:val="00611C7D"/>
    <w:rsid w:val="00612BD3"/>
    <w:rsid w:val="00612C70"/>
    <w:rsid w:val="006134FF"/>
    <w:rsid w:val="00613725"/>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8CC"/>
    <w:rsid w:val="00630BC0"/>
    <w:rsid w:val="00630D3E"/>
    <w:rsid w:val="00630F7E"/>
    <w:rsid w:val="006310AE"/>
    <w:rsid w:val="00631762"/>
    <w:rsid w:val="00631A83"/>
    <w:rsid w:val="00632196"/>
    <w:rsid w:val="006325DA"/>
    <w:rsid w:val="00632BA2"/>
    <w:rsid w:val="00633843"/>
    <w:rsid w:val="00633BF2"/>
    <w:rsid w:val="00633F67"/>
    <w:rsid w:val="006342E3"/>
    <w:rsid w:val="00634322"/>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1"/>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3A3"/>
    <w:rsid w:val="006508B9"/>
    <w:rsid w:val="00650A51"/>
    <w:rsid w:val="00650CA1"/>
    <w:rsid w:val="00651070"/>
    <w:rsid w:val="006512B8"/>
    <w:rsid w:val="0065143C"/>
    <w:rsid w:val="00651854"/>
    <w:rsid w:val="00651C4F"/>
    <w:rsid w:val="00652350"/>
    <w:rsid w:val="00652578"/>
    <w:rsid w:val="00652837"/>
    <w:rsid w:val="006528DF"/>
    <w:rsid w:val="006539E8"/>
    <w:rsid w:val="00653FBE"/>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49DA"/>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146"/>
    <w:rsid w:val="0072680E"/>
    <w:rsid w:val="00726878"/>
    <w:rsid w:val="00726D00"/>
    <w:rsid w:val="00727251"/>
    <w:rsid w:val="00727934"/>
    <w:rsid w:val="00730325"/>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0D2"/>
    <w:rsid w:val="00742370"/>
    <w:rsid w:val="00742A6A"/>
    <w:rsid w:val="00742B44"/>
    <w:rsid w:val="007431BA"/>
    <w:rsid w:val="0074391F"/>
    <w:rsid w:val="007448B6"/>
    <w:rsid w:val="00744FE7"/>
    <w:rsid w:val="00745087"/>
    <w:rsid w:val="0074656E"/>
    <w:rsid w:val="00746F14"/>
    <w:rsid w:val="00746FD6"/>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E71"/>
    <w:rsid w:val="00780276"/>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AE4"/>
    <w:rsid w:val="007A2290"/>
    <w:rsid w:val="007A2628"/>
    <w:rsid w:val="007A3042"/>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DA3"/>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D"/>
    <w:rsid w:val="007E013F"/>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6E9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3E3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1EA9"/>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0BD"/>
    <w:rsid w:val="00861730"/>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35"/>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46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10F"/>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4B7"/>
    <w:rsid w:val="008E0F52"/>
    <w:rsid w:val="008E11B9"/>
    <w:rsid w:val="008E127F"/>
    <w:rsid w:val="008E1A03"/>
    <w:rsid w:val="008E216C"/>
    <w:rsid w:val="008E2316"/>
    <w:rsid w:val="008E27EB"/>
    <w:rsid w:val="008E2F24"/>
    <w:rsid w:val="008E3063"/>
    <w:rsid w:val="008E34BE"/>
    <w:rsid w:val="008E3522"/>
    <w:rsid w:val="008E3702"/>
    <w:rsid w:val="008E3AA8"/>
    <w:rsid w:val="008E3E57"/>
    <w:rsid w:val="008E42CE"/>
    <w:rsid w:val="008E42F4"/>
    <w:rsid w:val="008E4333"/>
    <w:rsid w:val="008E4A31"/>
    <w:rsid w:val="008E4C30"/>
    <w:rsid w:val="008E4D38"/>
    <w:rsid w:val="008E5657"/>
    <w:rsid w:val="008E5E51"/>
    <w:rsid w:val="008E6790"/>
    <w:rsid w:val="008E7B6E"/>
    <w:rsid w:val="008E7BA0"/>
    <w:rsid w:val="008E7C48"/>
    <w:rsid w:val="008F00DB"/>
    <w:rsid w:val="008F0344"/>
    <w:rsid w:val="008F05E9"/>
    <w:rsid w:val="008F062C"/>
    <w:rsid w:val="008F083E"/>
    <w:rsid w:val="008F0EE0"/>
    <w:rsid w:val="008F1264"/>
    <w:rsid w:val="008F154C"/>
    <w:rsid w:val="008F17CA"/>
    <w:rsid w:val="008F1868"/>
    <w:rsid w:val="008F2908"/>
    <w:rsid w:val="008F3017"/>
    <w:rsid w:val="008F3F9E"/>
    <w:rsid w:val="008F3FD7"/>
    <w:rsid w:val="008F405A"/>
    <w:rsid w:val="008F47C6"/>
    <w:rsid w:val="008F4BC9"/>
    <w:rsid w:val="008F4C42"/>
    <w:rsid w:val="008F4D60"/>
    <w:rsid w:val="008F5AEF"/>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C7C"/>
    <w:rsid w:val="00911E7D"/>
    <w:rsid w:val="0091201C"/>
    <w:rsid w:val="009120A9"/>
    <w:rsid w:val="00912117"/>
    <w:rsid w:val="0091266B"/>
    <w:rsid w:val="00913380"/>
    <w:rsid w:val="009134C3"/>
    <w:rsid w:val="00913981"/>
    <w:rsid w:val="00913F77"/>
    <w:rsid w:val="00914332"/>
    <w:rsid w:val="00914C91"/>
    <w:rsid w:val="00915517"/>
    <w:rsid w:val="00915B81"/>
    <w:rsid w:val="00915CB6"/>
    <w:rsid w:val="00915D6B"/>
    <w:rsid w:val="00915F1B"/>
    <w:rsid w:val="0091601C"/>
    <w:rsid w:val="009160DF"/>
    <w:rsid w:val="009162C7"/>
    <w:rsid w:val="00916B02"/>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1C3"/>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8EE"/>
    <w:rsid w:val="009C3982"/>
    <w:rsid w:val="009C441F"/>
    <w:rsid w:val="009C4A07"/>
    <w:rsid w:val="009C4B8E"/>
    <w:rsid w:val="009C51D5"/>
    <w:rsid w:val="009C543C"/>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AE7"/>
    <w:rsid w:val="009E4D66"/>
    <w:rsid w:val="009E4EB5"/>
    <w:rsid w:val="009E5520"/>
    <w:rsid w:val="009E59BB"/>
    <w:rsid w:val="009E5A76"/>
    <w:rsid w:val="009E5AF5"/>
    <w:rsid w:val="009E5EB5"/>
    <w:rsid w:val="009E60E0"/>
    <w:rsid w:val="009E6953"/>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27"/>
    <w:rsid w:val="00A03967"/>
    <w:rsid w:val="00A03978"/>
    <w:rsid w:val="00A03AB1"/>
    <w:rsid w:val="00A04D7E"/>
    <w:rsid w:val="00A051D9"/>
    <w:rsid w:val="00A05DF3"/>
    <w:rsid w:val="00A07201"/>
    <w:rsid w:val="00A073D2"/>
    <w:rsid w:val="00A07597"/>
    <w:rsid w:val="00A075AB"/>
    <w:rsid w:val="00A07977"/>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474"/>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55C"/>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97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938"/>
    <w:rsid w:val="00A91C7F"/>
    <w:rsid w:val="00A91ED4"/>
    <w:rsid w:val="00A92066"/>
    <w:rsid w:val="00A92776"/>
    <w:rsid w:val="00A92C45"/>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B0A32"/>
    <w:rsid w:val="00AB0B90"/>
    <w:rsid w:val="00AB0E56"/>
    <w:rsid w:val="00AB0ED5"/>
    <w:rsid w:val="00AB0F96"/>
    <w:rsid w:val="00AB1120"/>
    <w:rsid w:val="00AB1365"/>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2C6D"/>
    <w:rsid w:val="00AC38FF"/>
    <w:rsid w:val="00AC3CB9"/>
    <w:rsid w:val="00AC3D06"/>
    <w:rsid w:val="00AC429F"/>
    <w:rsid w:val="00AC43A5"/>
    <w:rsid w:val="00AC4527"/>
    <w:rsid w:val="00AC4C15"/>
    <w:rsid w:val="00AC4D5B"/>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07"/>
    <w:rsid w:val="00AE08D7"/>
    <w:rsid w:val="00AE0CF2"/>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9A2"/>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1816"/>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4709"/>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28A"/>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39C"/>
    <w:rsid w:val="00BA5B57"/>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62A"/>
    <w:rsid w:val="00BB6B9B"/>
    <w:rsid w:val="00BB754F"/>
    <w:rsid w:val="00BB785D"/>
    <w:rsid w:val="00BC0012"/>
    <w:rsid w:val="00BC0058"/>
    <w:rsid w:val="00BC07D4"/>
    <w:rsid w:val="00BC0A5D"/>
    <w:rsid w:val="00BC0BE3"/>
    <w:rsid w:val="00BC0CE0"/>
    <w:rsid w:val="00BC149A"/>
    <w:rsid w:val="00BC1AD9"/>
    <w:rsid w:val="00BC1B61"/>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E8E"/>
    <w:rsid w:val="00BE23F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D81"/>
    <w:rsid w:val="00BF5DDD"/>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1AD7"/>
    <w:rsid w:val="00C22ADC"/>
    <w:rsid w:val="00C22B28"/>
    <w:rsid w:val="00C22EA0"/>
    <w:rsid w:val="00C25697"/>
    <w:rsid w:val="00C257B7"/>
    <w:rsid w:val="00C25ABD"/>
    <w:rsid w:val="00C2625F"/>
    <w:rsid w:val="00C2634D"/>
    <w:rsid w:val="00C265EF"/>
    <w:rsid w:val="00C272E8"/>
    <w:rsid w:val="00C27A53"/>
    <w:rsid w:val="00C30199"/>
    <w:rsid w:val="00C301A9"/>
    <w:rsid w:val="00C30ABC"/>
    <w:rsid w:val="00C30B32"/>
    <w:rsid w:val="00C30B60"/>
    <w:rsid w:val="00C30BA2"/>
    <w:rsid w:val="00C31E08"/>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3E4"/>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830"/>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01B"/>
    <w:rsid w:val="00C647F1"/>
    <w:rsid w:val="00C6528C"/>
    <w:rsid w:val="00C6596F"/>
    <w:rsid w:val="00C65EB5"/>
    <w:rsid w:val="00C66093"/>
    <w:rsid w:val="00C661E8"/>
    <w:rsid w:val="00C67547"/>
    <w:rsid w:val="00C67B67"/>
    <w:rsid w:val="00C67B70"/>
    <w:rsid w:val="00C70084"/>
    <w:rsid w:val="00C707C3"/>
    <w:rsid w:val="00C7090B"/>
    <w:rsid w:val="00C70D00"/>
    <w:rsid w:val="00C714D0"/>
    <w:rsid w:val="00C71D58"/>
    <w:rsid w:val="00C71FAC"/>
    <w:rsid w:val="00C7235B"/>
    <w:rsid w:val="00C727E2"/>
    <w:rsid w:val="00C72B53"/>
    <w:rsid w:val="00C72D74"/>
    <w:rsid w:val="00C72E18"/>
    <w:rsid w:val="00C72EC9"/>
    <w:rsid w:val="00C731AD"/>
    <w:rsid w:val="00C7380B"/>
    <w:rsid w:val="00C73CFA"/>
    <w:rsid w:val="00C74173"/>
    <w:rsid w:val="00C74421"/>
    <w:rsid w:val="00C749B9"/>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285"/>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97DAF"/>
    <w:rsid w:val="00CA17DD"/>
    <w:rsid w:val="00CA1863"/>
    <w:rsid w:val="00CA1941"/>
    <w:rsid w:val="00CA26CE"/>
    <w:rsid w:val="00CA27CE"/>
    <w:rsid w:val="00CA2D31"/>
    <w:rsid w:val="00CA3084"/>
    <w:rsid w:val="00CA391D"/>
    <w:rsid w:val="00CA3ACD"/>
    <w:rsid w:val="00CA40AD"/>
    <w:rsid w:val="00CA4F8B"/>
    <w:rsid w:val="00CA5435"/>
    <w:rsid w:val="00CA5445"/>
    <w:rsid w:val="00CA6833"/>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112"/>
    <w:rsid w:val="00CB6795"/>
    <w:rsid w:val="00CB6891"/>
    <w:rsid w:val="00CB6C9E"/>
    <w:rsid w:val="00CB71AE"/>
    <w:rsid w:val="00CB71F8"/>
    <w:rsid w:val="00CB73F7"/>
    <w:rsid w:val="00CC048A"/>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464"/>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CF75E3"/>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670"/>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15F"/>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19A8"/>
    <w:rsid w:val="00D81F10"/>
    <w:rsid w:val="00D82798"/>
    <w:rsid w:val="00D82BF2"/>
    <w:rsid w:val="00D83484"/>
    <w:rsid w:val="00D8409E"/>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1FC1"/>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6C5"/>
    <w:rsid w:val="00DB297E"/>
    <w:rsid w:val="00DB32BB"/>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38A"/>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05F"/>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67A2"/>
    <w:rsid w:val="00E37BE5"/>
    <w:rsid w:val="00E41A27"/>
    <w:rsid w:val="00E41AB4"/>
    <w:rsid w:val="00E424A5"/>
    <w:rsid w:val="00E42737"/>
    <w:rsid w:val="00E42ED0"/>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61C"/>
    <w:rsid w:val="00E53A01"/>
    <w:rsid w:val="00E53F9E"/>
    <w:rsid w:val="00E5433C"/>
    <w:rsid w:val="00E54AA3"/>
    <w:rsid w:val="00E5557B"/>
    <w:rsid w:val="00E564C4"/>
    <w:rsid w:val="00E567C9"/>
    <w:rsid w:val="00E56BA4"/>
    <w:rsid w:val="00E56C08"/>
    <w:rsid w:val="00E56C7D"/>
    <w:rsid w:val="00E5769C"/>
    <w:rsid w:val="00E57909"/>
    <w:rsid w:val="00E57E1A"/>
    <w:rsid w:val="00E6029C"/>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5B"/>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0AB"/>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6F5C"/>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5A67"/>
    <w:rsid w:val="00EF63C5"/>
    <w:rsid w:val="00EF6669"/>
    <w:rsid w:val="00EF67BB"/>
    <w:rsid w:val="00EF6B26"/>
    <w:rsid w:val="00EF700A"/>
    <w:rsid w:val="00EF72F9"/>
    <w:rsid w:val="00EF7704"/>
    <w:rsid w:val="00EF7C28"/>
    <w:rsid w:val="00F0021E"/>
    <w:rsid w:val="00F002F4"/>
    <w:rsid w:val="00F0030E"/>
    <w:rsid w:val="00F00627"/>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03F"/>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2B1"/>
    <w:rsid w:val="00F403A1"/>
    <w:rsid w:val="00F403DB"/>
    <w:rsid w:val="00F4051A"/>
    <w:rsid w:val="00F4065A"/>
    <w:rsid w:val="00F4124C"/>
    <w:rsid w:val="00F41B4D"/>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C38"/>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3D83"/>
    <w:rsid w:val="00F74439"/>
    <w:rsid w:val="00F74737"/>
    <w:rsid w:val="00F752F2"/>
    <w:rsid w:val="00F75330"/>
    <w:rsid w:val="00F75B66"/>
    <w:rsid w:val="00F762AD"/>
    <w:rsid w:val="00F76BD9"/>
    <w:rsid w:val="00F778DA"/>
    <w:rsid w:val="00F77A80"/>
    <w:rsid w:val="00F80318"/>
    <w:rsid w:val="00F803D0"/>
    <w:rsid w:val="00F80703"/>
    <w:rsid w:val="00F80948"/>
    <w:rsid w:val="00F80B95"/>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4DB9"/>
    <w:rsid w:val="00F958DA"/>
    <w:rsid w:val="00F96500"/>
    <w:rsid w:val="00F97437"/>
    <w:rsid w:val="00F97611"/>
    <w:rsid w:val="00F97E2B"/>
    <w:rsid w:val="00F97F74"/>
    <w:rsid w:val="00FA0791"/>
    <w:rsid w:val="00FA07B9"/>
    <w:rsid w:val="00FA0B53"/>
    <w:rsid w:val="00FA1007"/>
    <w:rsid w:val="00FA1492"/>
    <w:rsid w:val="00FA1807"/>
    <w:rsid w:val="00FA1937"/>
    <w:rsid w:val="00FA2550"/>
    <w:rsid w:val="00FA2637"/>
    <w:rsid w:val="00FA2C35"/>
    <w:rsid w:val="00FA2F4F"/>
    <w:rsid w:val="00FA31E7"/>
    <w:rsid w:val="00FA322F"/>
    <w:rsid w:val="00FA39B1"/>
    <w:rsid w:val="00FA413A"/>
    <w:rsid w:val="00FA4144"/>
    <w:rsid w:val="00FA4C42"/>
    <w:rsid w:val="00FA4DDF"/>
    <w:rsid w:val="00FA5C71"/>
    <w:rsid w:val="00FA645E"/>
    <w:rsid w:val="00FA6A01"/>
    <w:rsid w:val="00FA6A2D"/>
    <w:rsid w:val="00FA6E7F"/>
    <w:rsid w:val="00FA7114"/>
    <w:rsid w:val="00FA72F3"/>
    <w:rsid w:val="00FA76A2"/>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1ED"/>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5A0"/>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8"/>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10"/>
      </w:numPr>
      <w:ind w:left="1701" w:hanging="1701"/>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496</TotalTime>
  <Pages>5</Pages>
  <Words>2209</Words>
  <Characters>12042</Characters>
  <Application>Microsoft Office Word</Application>
  <DocSecurity>0</DocSecurity>
  <Lines>245</Lines>
  <Paragraphs>128</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14123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K, Sreekanth | RSI</cp:lastModifiedBy>
  <cp:revision>49</cp:revision>
  <cp:lastPrinted>2016-06-20T05:35:00Z</cp:lastPrinted>
  <dcterms:created xsi:type="dcterms:W3CDTF">2026-01-28T03:31:00Z</dcterms:created>
  <dcterms:modified xsi:type="dcterms:W3CDTF">2026-01-30T13:57:00Z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